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C1" w:rsidRDefault="00493C17">
      <w:pPr>
        <w:kinsoku w:val="0"/>
        <w:overflowPunct w:val="0"/>
        <w:autoSpaceDE/>
        <w:autoSpaceDN/>
        <w:adjustRightInd/>
        <w:spacing w:line="285" w:lineRule="exact"/>
        <w:ind w:left="72"/>
        <w:jc w:val="center"/>
        <w:textAlignment w:val="baseline"/>
        <w:rPr>
          <w:rFonts w:ascii="Verdana" w:hAnsi="Verdana" w:cs="Verdana"/>
          <w:b/>
          <w:bCs/>
          <w:sz w:val="24"/>
          <w:szCs w:val="24"/>
          <w:lang w:val="es-ES" w:eastAsia="es-ES"/>
        </w:rPr>
      </w:pPr>
      <w:bookmarkStart w:id="0" w:name="_GoBack"/>
      <w:bookmarkEnd w:id="0"/>
      <w:r>
        <w:rPr>
          <w:rFonts w:ascii="Verdana" w:hAnsi="Verdana" w:cs="Verdana"/>
          <w:b/>
          <w:bCs/>
          <w:sz w:val="24"/>
          <w:szCs w:val="24"/>
          <w:lang w:val="es-ES" w:eastAsia="es-ES"/>
        </w:rPr>
        <w:t>RESOLUCION No. TAT-2522-2015</w:t>
      </w:r>
    </w:p>
    <w:p w:rsidR="00C859C1" w:rsidRDefault="00493C17">
      <w:pPr>
        <w:kinsoku w:val="0"/>
        <w:overflowPunct w:val="0"/>
        <w:autoSpaceDE/>
        <w:autoSpaceDN/>
        <w:adjustRightInd/>
        <w:spacing w:before="621" w:line="292"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once horas tres minutos del veintisiete de marzo de dos mil quince.</w:t>
      </w:r>
    </w:p>
    <w:p w:rsidR="00C859C1" w:rsidRDefault="00493C17" w:rsidP="00555FAB">
      <w:pPr>
        <w:kinsoku w:val="0"/>
        <w:overflowPunct w:val="0"/>
        <w:autoSpaceDE/>
        <w:autoSpaceDN/>
        <w:adjustRightInd/>
        <w:spacing w:before="307" w:line="273" w:lineRule="exact"/>
        <w:ind w:left="72"/>
        <w:jc w:val="both"/>
        <w:textAlignment w:val="baseline"/>
        <w:rPr>
          <w:rFonts w:ascii="Verdana" w:hAnsi="Verdana" w:cs="Verdana"/>
          <w:b/>
          <w:bCs/>
          <w:spacing w:val="1"/>
          <w:sz w:val="24"/>
          <w:szCs w:val="24"/>
          <w:lang w:val="es-ES" w:eastAsia="es-ES"/>
        </w:rPr>
      </w:pPr>
      <w:r>
        <w:rPr>
          <w:rFonts w:ascii="Verdana" w:hAnsi="Verdana" w:cs="Verdana"/>
          <w:b/>
          <w:bCs/>
          <w:spacing w:val="25"/>
          <w:sz w:val="19"/>
          <w:szCs w:val="19"/>
          <w:lang w:val="es-ES" w:eastAsia="es-ES"/>
        </w:rPr>
        <w:t>RECURSO DE APELACIÓN EN SUBSIDIO Y NULIDAD CONCOMITANTE,</w:t>
      </w:r>
      <w:r w:rsidR="00555FAB">
        <w:rPr>
          <w:rFonts w:ascii="Verdana" w:hAnsi="Verdana" w:cs="Verdana"/>
          <w:b/>
          <w:bCs/>
          <w:spacing w:val="25"/>
          <w:sz w:val="19"/>
          <w:szCs w:val="19"/>
          <w:lang w:val="es-ES" w:eastAsia="es-ES"/>
        </w:rPr>
        <w:t xml:space="preserve"> </w:t>
      </w:r>
      <w:r>
        <w:rPr>
          <w:rFonts w:ascii="Verdana" w:hAnsi="Verdana" w:cs="Verdana"/>
          <w:spacing w:val="1"/>
          <w:sz w:val="24"/>
          <w:szCs w:val="24"/>
          <w:lang w:val="es-ES" w:eastAsia="es-ES"/>
        </w:rPr>
        <w:t xml:space="preserve">presentado por el señor </w:t>
      </w:r>
      <w:r>
        <w:rPr>
          <w:rFonts w:ascii="Verdana" w:hAnsi="Verdana" w:cs="Verdana"/>
          <w:b/>
          <w:bCs/>
          <w:spacing w:val="1"/>
          <w:sz w:val="24"/>
          <w:szCs w:val="24"/>
          <w:lang w:val="es-ES" w:eastAsia="es-ES"/>
        </w:rPr>
        <w:t>R</w:t>
      </w:r>
      <w:r w:rsidR="00555FAB">
        <w:rPr>
          <w:rFonts w:ascii="Verdana" w:hAnsi="Verdana" w:cs="Verdana"/>
          <w:b/>
          <w:bCs/>
          <w:spacing w:val="1"/>
          <w:sz w:val="24"/>
          <w:szCs w:val="24"/>
          <w:lang w:val="es-ES" w:eastAsia="es-ES"/>
        </w:rPr>
        <w:t>.J.C.R.</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cédula de identidad número </w:t>
      </w:r>
      <w:r w:rsidR="00555FAB">
        <w:rPr>
          <w:rFonts w:ascii="Verdana" w:hAnsi="Verdana" w:cs="Verdana"/>
          <w:spacing w:val="1"/>
          <w:sz w:val="24"/>
          <w:szCs w:val="24"/>
          <w:lang w:val="es-ES" w:eastAsia="es-ES"/>
        </w:rPr>
        <w:t>…</w:t>
      </w:r>
      <w:r>
        <w:rPr>
          <w:rFonts w:ascii="Verdana" w:hAnsi="Verdana" w:cs="Verdana"/>
          <w:spacing w:val="1"/>
          <w:sz w:val="24"/>
          <w:szCs w:val="24"/>
          <w:lang w:val="es-ES" w:eastAsia="es-ES"/>
        </w:rPr>
        <w:t xml:space="preserve">, en su condición de permisionario de la ruta descrita como urbano de Orotina contra el </w:t>
      </w:r>
      <w:r>
        <w:rPr>
          <w:rFonts w:ascii="Verdana" w:hAnsi="Verdana" w:cs="Verdana"/>
          <w:b/>
          <w:bCs/>
          <w:spacing w:val="1"/>
          <w:sz w:val="24"/>
          <w:szCs w:val="24"/>
          <w:lang w:val="es-ES" w:eastAsia="es-ES"/>
        </w:rPr>
        <w:t xml:space="preserve">Artículo 7.2.14 de la Sesión Ordinaria 08-2014, celebrada el 5 de febrero de 2014, por la Junta Directiva del Consejo de Transporte Público. </w:t>
      </w:r>
      <w:r>
        <w:rPr>
          <w:rFonts w:ascii="Verdana" w:hAnsi="Verdana" w:cs="Verdana"/>
          <w:spacing w:val="1"/>
          <w:sz w:val="24"/>
          <w:szCs w:val="24"/>
          <w:lang w:val="es-ES" w:eastAsia="es-ES"/>
        </w:rPr>
        <w:t xml:space="preserve">El caso es tramitado en este Despacho bajo </w:t>
      </w:r>
      <w:r>
        <w:rPr>
          <w:rFonts w:ascii="Verdana" w:hAnsi="Verdana" w:cs="Verdana"/>
          <w:b/>
          <w:bCs/>
          <w:spacing w:val="1"/>
          <w:sz w:val="24"/>
          <w:szCs w:val="24"/>
          <w:lang w:val="es-ES" w:eastAsia="es-ES"/>
        </w:rPr>
        <w:t>Expediente Administrativo No. TAT-233-14.</w:t>
      </w:r>
    </w:p>
    <w:p w:rsidR="00C859C1" w:rsidRDefault="00493C17">
      <w:pPr>
        <w:kinsoku w:val="0"/>
        <w:overflowPunct w:val="0"/>
        <w:autoSpaceDE/>
        <w:autoSpaceDN/>
        <w:adjustRightInd/>
        <w:spacing w:before="315" w:line="289" w:lineRule="exact"/>
        <w:ind w:left="72"/>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C859C1" w:rsidRDefault="00493C17">
      <w:pPr>
        <w:kinsoku w:val="0"/>
        <w:overflowPunct w:val="0"/>
        <w:autoSpaceDE/>
        <w:autoSpaceDN/>
        <w:adjustRightInd/>
        <w:spacing w:before="388" w:line="291" w:lineRule="exact"/>
        <w:ind w:lef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PRIMERO: </w:t>
      </w:r>
      <w:r>
        <w:rPr>
          <w:rFonts w:ascii="Verdana" w:hAnsi="Verdana" w:cs="Verdana"/>
          <w:spacing w:val="2"/>
          <w:sz w:val="24"/>
          <w:szCs w:val="24"/>
          <w:lang w:val="es-ES" w:eastAsia="es-ES"/>
        </w:rPr>
        <w:t xml:space="preserve">Mediante </w:t>
      </w:r>
      <w:r>
        <w:rPr>
          <w:rFonts w:ascii="Verdana" w:hAnsi="Verdana" w:cs="Verdana"/>
          <w:b/>
          <w:bCs/>
          <w:spacing w:val="2"/>
          <w:sz w:val="24"/>
          <w:szCs w:val="24"/>
          <w:lang w:val="es-ES" w:eastAsia="es-ES"/>
        </w:rPr>
        <w:t>Artículo 7.2.14 de la Sesión Ordinaria 08</w:t>
      </w:r>
      <w:r>
        <w:rPr>
          <w:rFonts w:ascii="Verdana" w:hAnsi="Verdana" w:cs="Verdana"/>
          <w:b/>
          <w:bCs/>
          <w:spacing w:val="2"/>
          <w:sz w:val="24"/>
          <w:szCs w:val="24"/>
          <w:lang w:val="es-ES" w:eastAsia="es-ES"/>
        </w:rPr>
        <w:softHyphen/>
        <w:t xml:space="preserve">2014, celebrada el 5 de febrero de 2014, </w:t>
      </w:r>
      <w:r>
        <w:rPr>
          <w:rFonts w:ascii="Verdana" w:hAnsi="Verdana" w:cs="Verdana"/>
          <w:b/>
          <w:bCs/>
          <w:spacing w:val="2"/>
          <w:sz w:val="19"/>
          <w:szCs w:val="19"/>
          <w:lang w:val="es-ES" w:eastAsia="es-ES"/>
        </w:rPr>
        <w:t xml:space="preserve">LA JUNTA DIRECTIVA DEL CONSEJO DE TRANSPORTE PÚBLICO, </w:t>
      </w:r>
      <w:r>
        <w:rPr>
          <w:rFonts w:ascii="Verdana" w:hAnsi="Verdana" w:cs="Verdana"/>
          <w:spacing w:val="2"/>
          <w:sz w:val="24"/>
          <w:szCs w:val="24"/>
          <w:lang w:val="es-ES" w:eastAsia="es-ES"/>
        </w:rPr>
        <w:t xml:space="preserve">reafirma lo dispuesto en el acuerdo </w:t>
      </w:r>
      <w:r>
        <w:rPr>
          <w:rFonts w:ascii="Verdana" w:hAnsi="Verdana" w:cs="Verdana"/>
          <w:b/>
          <w:bCs/>
          <w:spacing w:val="2"/>
          <w:sz w:val="24"/>
          <w:szCs w:val="24"/>
          <w:lang w:val="es-ES" w:eastAsia="es-ES"/>
        </w:rPr>
        <w:t xml:space="preserve">7.1 de la Sesión Ordinaria 94-2013, celebrada el 12 de diciembre de 2013 </w:t>
      </w:r>
      <w:r>
        <w:rPr>
          <w:rFonts w:ascii="Verdana" w:hAnsi="Verdana" w:cs="Verdana"/>
          <w:spacing w:val="2"/>
          <w:sz w:val="24"/>
          <w:szCs w:val="24"/>
          <w:lang w:val="es-ES" w:eastAsia="es-ES"/>
        </w:rPr>
        <w:t xml:space="preserve">y procede a informar al señor </w:t>
      </w:r>
      <w:r>
        <w:rPr>
          <w:rFonts w:ascii="Verdana" w:hAnsi="Verdana" w:cs="Verdana"/>
          <w:b/>
          <w:bCs/>
          <w:spacing w:val="2"/>
          <w:sz w:val="24"/>
          <w:szCs w:val="24"/>
          <w:lang w:val="es-ES" w:eastAsia="es-ES"/>
        </w:rPr>
        <w:t>R</w:t>
      </w:r>
      <w:r w:rsidR="00555FAB">
        <w:rPr>
          <w:rFonts w:ascii="Verdana" w:hAnsi="Verdana" w:cs="Verdana"/>
          <w:b/>
          <w:bCs/>
          <w:spacing w:val="2"/>
          <w:sz w:val="24"/>
          <w:szCs w:val="24"/>
          <w:lang w:val="es-ES" w:eastAsia="es-ES"/>
        </w:rPr>
        <w:t>.J.C.R.</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cédula de identidad número </w:t>
      </w:r>
      <w:r w:rsidR="00555FAB">
        <w:rPr>
          <w:rFonts w:ascii="Verdana" w:hAnsi="Verdana" w:cs="Verdana"/>
          <w:spacing w:val="2"/>
          <w:sz w:val="24"/>
          <w:szCs w:val="24"/>
          <w:lang w:val="es-ES" w:eastAsia="es-ES"/>
        </w:rPr>
        <w:t>…</w:t>
      </w:r>
      <w:r>
        <w:rPr>
          <w:rFonts w:ascii="Verdana" w:hAnsi="Verdana" w:cs="Verdana"/>
          <w:spacing w:val="2"/>
          <w:sz w:val="24"/>
          <w:szCs w:val="24"/>
          <w:lang w:val="es-ES" w:eastAsia="es-ES"/>
        </w:rPr>
        <w:t xml:space="preserve">, en su condición de permisionario de la ruta descrita como urbano de Orotina , </w:t>
      </w:r>
      <w:r>
        <w:rPr>
          <w:rFonts w:ascii="Verdana" w:hAnsi="Verdana" w:cs="Verdana"/>
          <w:i/>
          <w:iCs/>
          <w:spacing w:val="2"/>
          <w:sz w:val="24"/>
          <w:szCs w:val="24"/>
          <w:lang w:val="es-ES" w:eastAsia="es-ES"/>
        </w:rPr>
        <w:t xml:space="preserve">"Resultado de la evaluación pre oferta procedimiento especial abreviado para otorgamiento de concesiones, declaración jurada reporte de flota automotor", </w:t>
      </w:r>
      <w:r>
        <w:rPr>
          <w:rFonts w:ascii="Verdana" w:hAnsi="Verdana" w:cs="Verdana"/>
          <w:spacing w:val="2"/>
          <w:sz w:val="24"/>
          <w:szCs w:val="24"/>
          <w:lang w:val="es-ES" w:eastAsia="es-ES"/>
        </w:rPr>
        <w:t xml:space="preserve">Según se indica por el Consejo de Transporte Público este acto fue notificado el 11 de febrero de 2014 al recurrente y se dice que </w:t>
      </w:r>
      <w:r>
        <w:rPr>
          <w:rFonts w:ascii="Verdana" w:hAnsi="Verdana" w:cs="Verdana"/>
          <w:i/>
          <w:iCs/>
          <w:spacing w:val="2"/>
          <w:sz w:val="24"/>
          <w:szCs w:val="24"/>
          <w:lang w:val="es-ES" w:eastAsia="es-ES"/>
        </w:rPr>
        <w:t xml:space="preserve">"Se rechaza ya que las unidades inscritas están fuera de la vida útil, presentan solicitud de inscripción de otras unidades que si están dentro del rango de vida útil pero la fecha de solicitud es del 30-08-2013" </w:t>
      </w:r>
      <w:r>
        <w:rPr>
          <w:rFonts w:ascii="Verdana" w:hAnsi="Verdana" w:cs="Verdana"/>
          <w:spacing w:val="2"/>
          <w:sz w:val="24"/>
          <w:szCs w:val="24"/>
          <w:lang w:val="es-ES" w:eastAsia="es-ES"/>
        </w:rPr>
        <w:t>(Léase folio 66 cara y vuelto del expediente administrativo)</w:t>
      </w:r>
    </w:p>
    <w:p w:rsidR="00C859C1" w:rsidRDefault="00493C17" w:rsidP="00555FAB">
      <w:pPr>
        <w:kinsoku w:val="0"/>
        <w:overflowPunct w:val="0"/>
        <w:autoSpaceDE/>
        <w:autoSpaceDN/>
        <w:adjustRightInd/>
        <w:spacing w:before="303" w:after="647" w:line="294"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El recurrente presenta Recurso de Revocatoria con Apelación en Subsidio y Nulidad concomitante e indica en lo que interesa para el caso lo siguiente: (Léanse folios del 43 al 51 del expediente administrativo)</w:t>
      </w:r>
    </w:p>
    <w:p w:rsidR="00C859C1" w:rsidRDefault="00C859C1">
      <w:pPr>
        <w:widowControl/>
        <w:rPr>
          <w:sz w:val="24"/>
          <w:szCs w:val="24"/>
        </w:rPr>
        <w:sectPr w:rsidR="00C859C1">
          <w:pgSz w:w="12134" w:h="15840"/>
          <w:pgMar w:top="1380" w:right="1612" w:bottom="190" w:left="1522" w:header="720" w:footer="720" w:gutter="0"/>
          <w:cols w:space="720"/>
          <w:noEndnote/>
        </w:sectPr>
      </w:pPr>
    </w:p>
    <w:p w:rsidR="00C859C1" w:rsidRDefault="00C859C1">
      <w:pPr>
        <w:widowControl/>
        <w:rPr>
          <w:sz w:val="24"/>
          <w:szCs w:val="24"/>
        </w:rPr>
        <w:sectPr w:rsidR="00C859C1">
          <w:type w:val="continuous"/>
          <w:pgSz w:w="12134" w:h="15840"/>
          <w:pgMar w:top="1380" w:right="2203" w:bottom="190" w:left="6851" w:header="720" w:footer="720" w:gutter="0"/>
          <w:cols w:space="720"/>
          <w:noEndnote/>
        </w:sectPr>
      </w:pPr>
    </w:p>
    <w:p w:rsidR="00C859C1" w:rsidRDefault="00493C17">
      <w:pPr>
        <w:numPr>
          <w:ilvl w:val="0"/>
          <w:numId w:val="1"/>
        </w:numPr>
        <w:kinsoku w:val="0"/>
        <w:overflowPunct w:val="0"/>
        <w:autoSpaceDE/>
        <w:autoSpaceDN/>
        <w:adjustRightInd/>
        <w:spacing w:before="23" w:line="29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El Decreto 37737-MOPT, establece que en caso de ser necesario se realizan las prevenciones que sean pertinentes con el fin de que se porte cualquier requisito incompleto o faltante en el término de cinco días, acto que él realizó cuando se le previno, aportaron la solicitud de </w:t>
      </w:r>
      <w:proofErr w:type="spellStart"/>
      <w:r>
        <w:rPr>
          <w:rFonts w:ascii="Verdana" w:hAnsi="Verdana" w:cs="Verdana"/>
          <w:sz w:val="24"/>
          <w:szCs w:val="24"/>
          <w:lang w:val="es-ES" w:eastAsia="es-ES"/>
        </w:rPr>
        <w:t>desinscripción</w:t>
      </w:r>
      <w:proofErr w:type="spellEnd"/>
      <w:r>
        <w:rPr>
          <w:rFonts w:ascii="Verdana" w:hAnsi="Verdana" w:cs="Verdana"/>
          <w:sz w:val="24"/>
          <w:szCs w:val="24"/>
          <w:lang w:val="es-ES" w:eastAsia="es-ES"/>
        </w:rPr>
        <w:t xml:space="preserve"> e inscripción de flota óptima, es decir subsanó el defecto apuntado.</w:t>
      </w:r>
    </w:p>
    <w:p w:rsidR="00C859C1" w:rsidRDefault="00493C17">
      <w:pPr>
        <w:numPr>
          <w:ilvl w:val="0"/>
          <w:numId w:val="1"/>
        </w:numPr>
        <w:kinsoku w:val="0"/>
        <w:overflowPunct w:val="0"/>
        <w:autoSpaceDE/>
        <w:autoSpaceDN/>
        <w:adjustRightInd/>
        <w:spacing w:before="281" w:line="29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Al prever el Decreto un plazo para subsanar los defectos apuntados es con el fin de darle la oportunidad al permisionario de corregir dicho incumplimiento caso contrario no tendría razón de ser dicha concesión del plazo.</w:t>
      </w:r>
    </w:p>
    <w:p w:rsidR="00C859C1" w:rsidRDefault="00493C17">
      <w:pPr>
        <w:numPr>
          <w:ilvl w:val="0"/>
          <w:numId w:val="1"/>
        </w:numPr>
        <w:kinsoku w:val="0"/>
        <w:overflowPunct w:val="0"/>
        <w:autoSpaceDE/>
        <w:autoSpaceDN/>
        <w:adjustRightInd/>
        <w:spacing w:before="303" w:line="29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Solicita se revoque el acto impugnado.</w:t>
      </w:r>
    </w:p>
    <w:p w:rsidR="00C859C1" w:rsidRDefault="00493C17">
      <w:pPr>
        <w:kinsoku w:val="0"/>
        <w:overflowPunct w:val="0"/>
        <w:autoSpaceDE/>
        <w:autoSpaceDN/>
        <w:adjustRightInd/>
        <w:spacing w:before="283" w:line="297"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 xml:space="preserve">8.1.1 de la Sesión Ordinaria 51-2014 celebrada el día 17 de setiembre de 2014, </w:t>
      </w:r>
      <w:r>
        <w:rPr>
          <w:rFonts w:ascii="Verdana" w:hAnsi="Verdana" w:cs="Verdana"/>
          <w:sz w:val="24"/>
          <w:szCs w:val="24"/>
          <w:lang w:val="es-ES" w:eastAsia="es-ES"/>
        </w:rPr>
        <w:t xml:space="preserve">por la Junta Directiva del CTP, se conoce y avala el </w:t>
      </w:r>
      <w:r>
        <w:rPr>
          <w:rFonts w:ascii="Verdana" w:hAnsi="Verdana" w:cs="Verdana"/>
          <w:b/>
          <w:bCs/>
          <w:sz w:val="24"/>
          <w:szCs w:val="24"/>
          <w:lang w:val="es-ES" w:eastAsia="es-ES"/>
        </w:rPr>
        <w:t xml:space="preserve">oficio DAJ-2014-000969 </w:t>
      </w:r>
      <w:r>
        <w:rPr>
          <w:rFonts w:ascii="Verdana" w:hAnsi="Verdana" w:cs="Verdana"/>
          <w:sz w:val="24"/>
          <w:szCs w:val="24"/>
          <w:lang w:val="es-ES" w:eastAsia="es-ES"/>
        </w:rPr>
        <w:t>de la Dirección de Asuntos Jurídicos del 10 de marzo de 2014 y se rechaza el Recurso de Revocatoria por cuanto en la precalificación la recurrente incumplió con lo dispuesto en el artículo 4 del Decreto Ejecutivo número 37737-MOPT, al haber presentado la solicitud de inscripción de flota hasta el día 30 de agosto de 2013, además de no encontrarse nulidad alguna del acto impugnado. (Léanse folios del 2 al 4 y del 39 al 42 del expediente administrativo)</w:t>
      </w:r>
    </w:p>
    <w:p w:rsidR="00C859C1" w:rsidRDefault="00493C17">
      <w:pPr>
        <w:kinsoku w:val="0"/>
        <w:overflowPunct w:val="0"/>
        <w:autoSpaceDE/>
        <w:autoSpaceDN/>
        <w:adjustRightInd/>
        <w:spacing w:before="305" w:line="297"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 xml:space="preserve">A folios 89 y 90 del expediente se encuentra fotocopia de solicitud de inscripción de Flota Optima presenta por el señor </w:t>
      </w:r>
      <w:r>
        <w:rPr>
          <w:rFonts w:ascii="Verdana" w:hAnsi="Verdana" w:cs="Verdana"/>
          <w:b/>
          <w:bCs/>
          <w:sz w:val="24"/>
          <w:szCs w:val="24"/>
          <w:lang w:val="es-ES" w:eastAsia="es-ES"/>
        </w:rPr>
        <w:t>R</w:t>
      </w:r>
      <w:r w:rsidR="00555FAB">
        <w:rPr>
          <w:rFonts w:ascii="Verdana" w:hAnsi="Verdana" w:cs="Verdana"/>
          <w:b/>
          <w:bCs/>
          <w:sz w:val="24"/>
          <w:szCs w:val="24"/>
          <w:lang w:val="es-ES" w:eastAsia="es-ES"/>
        </w:rPr>
        <w:t>.C.R.</w:t>
      </w:r>
      <w:r>
        <w:rPr>
          <w:rFonts w:ascii="Verdana" w:hAnsi="Verdana" w:cs="Verdana"/>
          <w:b/>
          <w:bCs/>
          <w:sz w:val="24"/>
          <w:szCs w:val="24"/>
          <w:lang w:val="es-ES" w:eastAsia="es-ES"/>
        </w:rPr>
        <w:t xml:space="preserve">, </w:t>
      </w:r>
      <w:r>
        <w:rPr>
          <w:rFonts w:ascii="Verdana" w:hAnsi="Verdana" w:cs="Verdana"/>
          <w:sz w:val="24"/>
          <w:szCs w:val="24"/>
          <w:lang w:val="es-ES" w:eastAsia="es-ES"/>
        </w:rPr>
        <w:t>documento presentado el 30 de agosto de 2013.</w:t>
      </w:r>
    </w:p>
    <w:p w:rsidR="00C859C1" w:rsidRDefault="00493C17">
      <w:pPr>
        <w:kinsoku w:val="0"/>
        <w:overflowPunct w:val="0"/>
        <w:autoSpaceDE/>
        <w:autoSpaceDN/>
        <w:adjustRightInd/>
        <w:spacing w:before="287" w:line="296"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 xml:space="preserve">A folio 88 del expediente se encuentra fotocopia de la contestación a la prevención girada por el CTP al señor </w:t>
      </w:r>
      <w:r>
        <w:rPr>
          <w:rFonts w:ascii="Verdana" w:hAnsi="Verdana" w:cs="Verdana"/>
          <w:b/>
          <w:bCs/>
          <w:sz w:val="24"/>
          <w:szCs w:val="24"/>
          <w:lang w:val="es-ES" w:eastAsia="es-ES"/>
        </w:rPr>
        <w:t>R</w:t>
      </w:r>
      <w:r w:rsidR="00555FAB">
        <w:rPr>
          <w:rFonts w:ascii="Verdana" w:hAnsi="Verdana" w:cs="Verdana"/>
          <w:b/>
          <w:bCs/>
          <w:sz w:val="24"/>
          <w:szCs w:val="24"/>
          <w:lang w:val="es-ES" w:eastAsia="es-ES"/>
        </w:rPr>
        <w:t>.C.R.</w:t>
      </w:r>
      <w:r>
        <w:rPr>
          <w:rFonts w:ascii="Verdana" w:hAnsi="Verdana" w:cs="Verdana"/>
          <w:b/>
          <w:bCs/>
          <w:sz w:val="24"/>
          <w:szCs w:val="24"/>
          <w:lang w:val="es-ES" w:eastAsia="es-ES"/>
        </w:rPr>
        <w:t xml:space="preserve">, mediante Notificación de oferta subsanable. </w:t>
      </w:r>
      <w:r>
        <w:rPr>
          <w:rFonts w:ascii="Verdana" w:hAnsi="Verdana" w:cs="Verdana"/>
          <w:sz w:val="24"/>
          <w:szCs w:val="24"/>
          <w:lang w:val="es-ES" w:eastAsia="es-ES"/>
        </w:rPr>
        <w:t>El documento tiene fecha 3 de setiembre de 2013 y es presentado ante el consejo el 4 del mismo mes y año.</w:t>
      </w:r>
    </w:p>
    <w:p w:rsidR="00C859C1" w:rsidRDefault="00493C17">
      <w:pPr>
        <w:kinsoku w:val="0"/>
        <w:overflowPunct w:val="0"/>
        <w:autoSpaceDE/>
        <w:autoSpaceDN/>
        <w:adjustRightInd/>
        <w:spacing w:before="303" w:line="297"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En los procedimientos seguidos se han observado las prescripciones legales.</w:t>
      </w:r>
    </w:p>
    <w:p w:rsidR="00C859C1" w:rsidRDefault="00493C17">
      <w:pPr>
        <w:kinsoku w:val="0"/>
        <w:overflowPunct w:val="0"/>
        <w:autoSpaceDE/>
        <w:autoSpaceDN/>
        <w:adjustRightInd/>
        <w:spacing w:before="286" w:after="1826" w:line="297" w:lineRule="exact"/>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Redacta la Juez Pérez Peláez; y,</w:t>
      </w:r>
    </w:p>
    <w:p w:rsidR="00C859C1" w:rsidRDefault="00C859C1">
      <w:pPr>
        <w:widowControl/>
        <w:rPr>
          <w:sz w:val="24"/>
          <w:szCs w:val="24"/>
        </w:rPr>
        <w:sectPr w:rsidR="00C859C1">
          <w:pgSz w:w="12134" w:h="15840"/>
          <w:pgMar w:top="1680" w:right="1664" w:bottom="220" w:left="1570" w:header="720" w:footer="720" w:gutter="0"/>
          <w:cols w:space="720"/>
          <w:noEndnote/>
        </w:sectPr>
      </w:pPr>
    </w:p>
    <w:p w:rsidR="00C859C1" w:rsidRDefault="00C859C1">
      <w:pPr>
        <w:widowControl/>
        <w:rPr>
          <w:sz w:val="24"/>
          <w:szCs w:val="24"/>
        </w:rPr>
        <w:sectPr w:rsidR="00C859C1">
          <w:type w:val="continuous"/>
          <w:pgSz w:w="12134" w:h="15840"/>
          <w:pgMar w:top="1680" w:right="1681" w:bottom="220" w:left="7373" w:header="720" w:footer="720" w:gutter="0"/>
          <w:cols w:space="720"/>
          <w:noEndnote/>
        </w:sectPr>
      </w:pPr>
    </w:p>
    <w:p w:rsidR="00C859C1" w:rsidRDefault="00493C17">
      <w:pPr>
        <w:kinsoku w:val="0"/>
        <w:overflowPunct w:val="0"/>
        <w:autoSpaceDE/>
        <w:autoSpaceDN/>
        <w:adjustRightInd/>
        <w:spacing w:line="289" w:lineRule="exact"/>
        <w:ind w:left="72" w:right="72"/>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lastRenderedPageBreak/>
        <w:t>CONSIDERANDO:</w:t>
      </w:r>
    </w:p>
    <w:p w:rsidR="00C859C1" w:rsidRDefault="00493C17">
      <w:pPr>
        <w:numPr>
          <w:ilvl w:val="0"/>
          <w:numId w:val="2"/>
        </w:numPr>
        <w:kinsoku w:val="0"/>
        <w:overflowPunct w:val="0"/>
        <w:autoSpaceDE/>
        <w:autoSpaceDN/>
        <w:adjustRightInd/>
        <w:spacing w:before="304" w:line="297" w:lineRule="exact"/>
        <w:ind w:right="72"/>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SOBRE LA COMPETENCIA: </w:t>
      </w:r>
      <w:r>
        <w:rPr>
          <w:rFonts w:ascii="Verdana" w:hAnsi="Verdana" w:cs="Verdana"/>
          <w:spacing w:val="-6"/>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NULIDAD CONCOMITANTE.</w:t>
      </w:r>
    </w:p>
    <w:p w:rsidR="00C859C1" w:rsidRDefault="00493C17">
      <w:pPr>
        <w:numPr>
          <w:ilvl w:val="0"/>
          <w:numId w:val="3"/>
        </w:numPr>
        <w:kinsoku w:val="0"/>
        <w:overflowPunct w:val="0"/>
        <w:autoSpaceDE/>
        <w:autoSpaceDN/>
        <w:adjustRightInd/>
        <w:spacing w:before="265" w:line="340"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ADMISIBILIDAD DEL RECURSO: </w:t>
      </w:r>
      <w:r>
        <w:rPr>
          <w:rFonts w:ascii="Verdana" w:hAnsi="Verdana" w:cs="Verdana"/>
          <w:b/>
          <w:bCs/>
          <w:sz w:val="24"/>
          <w:szCs w:val="24"/>
          <w:u w:val="single"/>
          <w:lang w:val="es-ES" w:eastAsia="es-ES"/>
        </w:rPr>
        <w:t>En cuanto a la Legitimación:</w:t>
      </w:r>
      <w:r>
        <w:rPr>
          <w:rFonts w:ascii="Verdana" w:hAnsi="Verdana" w:cs="Verdana"/>
          <w:sz w:val="24"/>
          <w:szCs w:val="24"/>
          <w:lang w:val="es-ES" w:eastAsia="es-ES"/>
        </w:rPr>
        <w:t xml:space="preserve"> Estima este Tribunal, que el señor </w:t>
      </w:r>
      <w:r>
        <w:rPr>
          <w:rFonts w:ascii="Verdana" w:hAnsi="Verdana" w:cs="Verdana"/>
          <w:b/>
          <w:bCs/>
          <w:sz w:val="24"/>
          <w:szCs w:val="24"/>
          <w:lang w:val="es-ES" w:eastAsia="es-ES"/>
        </w:rPr>
        <w:t>R</w:t>
      </w:r>
      <w:r w:rsidR="00555FAB">
        <w:rPr>
          <w:rFonts w:ascii="Verdana" w:hAnsi="Verdana" w:cs="Verdana"/>
          <w:b/>
          <w:bCs/>
          <w:sz w:val="24"/>
          <w:szCs w:val="24"/>
          <w:lang w:val="es-ES" w:eastAsia="es-ES"/>
        </w:rPr>
        <w:t>.J.C.R.</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número </w:t>
      </w:r>
      <w:r w:rsidR="00555FAB">
        <w:rPr>
          <w:rFonts w:ascii="Verdana" w:hAnsi="Verdana" w:cs="Verdana"/>
          <w:sz w:val="24"/>
          <w:szCs w:val="24"/>
          <w:lang w:val="es-ES" w:eastAsia="es-ES"/>
        </w:rPr>
        <w:t>…</w:t>
      </w:r>
      <w:r>
        <w:rPr>
          <w:rFonts w:ascii="Verdana" w:hAnsi="Verdana" w:cs="Verdana"/>
          <w:sz w:val="24"/>
          <w:szCs w:val="24"/>
          <w:lang w:val="es-ES" w:eastAsia="es-ES"/>
        </w:rPr>
        <w:t xml:space="preserve">, en su condición de permisionario de la ruta descrita como urbano de Orotina, cuenta con la Legitimación suficiente para actuar en el presente asunto. </w:t>
      </w:r>
      <w:r>
        <w:rPr>
          <w:rFonts w:ascii="Verdana" w:hAnsi="Verdana" w:cs="Verdana"/>
          <w:b/>
          <w:bCs/>
          <w:sz w:val="24"/>
          <w:szCs w:val="24"/>
          <w:u w:val="single"/>
          <w:lang w:val="es-ES" w:eastAsia="es-ES"/>
        </w:rPr>
        <w:t>En cuanto al plazo:</w:t>
      </w:r>
      <w:r>
        <w:rPr>
          <w:rFonts w:ascii="Verdana" w:hAnsi="Verdana" w:cs="Verdana"/>
          <w:sz w:val="24"/>
          <w:szCs w:val="24"/>
          <w:lang w:val="es-ES" w:eastAsia="es-ES"/>
        </w:rPr>
        <w:t xml:space="preserve"> Conforme al estudio efectuado, el Recurso de Apelación, se tiene por presentado dentro del plazo legal establecido para tal fin, en los términos del artículo 11 de la Ley Reguladora del Servicio Público de Transporte Remunerado de Personas en vehículos en la modalidad de taxi, Ley N° 7969, del 28 de enero del 2000, pues el acuerdo fue notificado el 11 de febrero de 2014 y el Recurso se presento el 17 del mismo mes y año.</w:t>
      </w:r>
    </w:p>
    <w:p w:rsidR="00C859C1" w:rsidRDefault="00493C17">
      <w:pPr>
        <w:numPr>
          <w:ilvl w:val="0"/>
          <w:numId w:val="4"/>
        </w:numPr>
        <w:kinsoku w:val="0"/>
        <w:overflowPunct w:val="0"/>
        <w:autoSpaceDE/>
        <w:autoSpaceDN/>
        <w:adjustRightInd/>
        <w:spacing w:before="395" w:line="289" w:lineRule="exact"/>
        <w:ind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HECHOS PROBADOS DE IMPORTANCIA PARA ESTE ASUNTO:</w:t>
      </w:r>
    </w:p>
    <w:p w:rsidR="00C859C1" w:rsidRDefault="00493C17">
      <w:pPr>
        <w:numPr>
          <w:ilvl w:val="0"/>
          <w:numId w:val="5"/>
        </w:numPr>
        <w:kinsoku w:val="0"/>
        <w:overflowPunct w:val="0"/>
        <w:autoSpaceDE/>
        <w:autoSpaceDN/>
        <w:adjustRightInd/>
        <w:spacing w:before="37" w:line="294"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Mediante </w:t>
      </w:r>
      <w:r>
        <w:rPr>
          <w:rFonts w:ascii="Verdana" w:hAnsi="Verdana" w:cs="Verdana"/>
          <w:b/>
          <w:bCs/>
          <w:sz w:val="24"/>
          <w:szCs w:val="24"/>
          <w:lang w:val="es-ES" w:eastAsia="es-ES"/>
        </w:rPr>
        <w:t xml:space="preserve">Artículo 7.2.14 de la Sesión Ordinaria 08-2014, celebrada el 5 de febrero de 2014, LA JUNTA DIRECTIVA DEL CONSEJO DE TRANSPORTE PÚBLICO, </w:t>
      </w:r>
      <w:r>
        <w:rPr>
          <w:rFonts w:ascii="Verdana" w:hAnsi="Verdana" w:cs="Verdana"/>
          <w:sz w:val="24"/>
          <w:szCs w:val="24"/>
          <w:lang w:val="es-ES" w:eastAsia="es-ES"/>
        </w:rPr>
        <w:t xml:space="preserve">reafirma lo dispuesto en el acuerdo </w:t>
      </w:r>
      <w:r>
        <w:rPr>
          <w:rFonts w:ascii="Verdana" w:hAnsi="Verdana" w:cs="Verdana"/>
          <w:b/>
          <w:bCs/>
          <w:sz w:val="24"/>
          <w:szCs w:val="24"/>
          <w:lang w:val="es-ES" w:eastAsia="es-ES"/>
        </w:rPr>
        <w:t xml:space="preserve">7.1 de la Sesión Ordinaria 94-2013, celebrada el 12 de diciembre de 2013 </w:t>
      </w:r>
      <w:r>
        <w:rPr>
          <w:rFonts w:ascii="Verdana" w:hAnsi="Verdana" w:cs="Verdana"/>
          <w:sz w:val="24"/>
          <w:szCs w:val="24"/>
          <w:lang w:val="es-ES" w:eastAsia="es-ES"/>
        </w:rPr>
        <w:t xml:space="preserve">y procede a informar al señor </w:t>
      </w:r>
      <w:r>
        <w:rPr>
          <w:rFonts w:ascii="Verdana" w:hAnsi="Verdana" w:cs="Verdana"/>
          <w:b/>
          <w:bCs/>
          <w:sz w:val="24"/>
          <w:szCs w:val="24"/>
          <w:lang w:val="es-ES" w:eastAsia="es-ES"/>
        </w:rPr>
        <w:t>R</w:t>
      </w:r>
      <w:r w:rsidR="00555FAB">
        <w:rPr>
          <w:rFonts w:ascii="Verdana" w:hAnsi="Verdana" w:cs="Verdana"/>
          <w:b/>
          <w:bCs/>
          <w:sz w:val="24"/>
          <w:szCs w:val="24"/>
          <w:lang w:val="es-ES" w:eastAsia="es-ES"/>
        </w:rPr>
        <w:t>.J.C.R.</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número </w:t>
      </w:r>
      <w:r w:rsidR="00555FAB">
        <w:rPr>
          <w:rFonts w:ascii="Verdana" w:hAnsi="Verdana" w:cs="Verdana"/>
          <w:sz w:val="24"/>
          <w:szCs w:val="24"/>
          <w:lang w:val="es-ES" w:eastAsia="es-ES"/>
        </w:rPr>
        <w:t>…</w:t>
      </w:r>
      <w:r>
        <w:rPr>
          <w:rFonts w:ascii="Verdana" w:hAnsi="Verdana" w:cs="Verdana"/>
          <w:sz w:val="24"/>
          <w:szCs w:val="24"/>
          <w:lang w:val="es-ES" w:eastAsia="es-ES"/>
        </w:rPr>
        <w:t xml:space="preserve">, en su condición de permisionario de la ruta descrita como urbano de Orotina , </w:t>
      </w:r>
      <w:r>
        <w:rPr>
          <w:rFonts w:ascii="Verdana" w:hAnsi="Verdana" w:cs="Verdana"/>
          <w:i/>
          <w:iCs/>
          <w:sz w:val="24"/>
          <w:szCs w:val="24"/>
          <w:lang w:val="es-ES" w:eastAsia="es-ES"/>
        </w:rPr>
        <w:t xml:space="preserve">"Resultado de la evaluación pre oferta procedimiento especial abreviado para otorgamiento de concesiones, declaración jurada reporte de flota automotor", </w:t>
      </w:r>
      <w:r>
        <w:rPr>
          <w:rFonts w:ascii="Verdana" w:hAnsi="Verdana" w:cs="Verdana"/>
          <w:sz w:val="24"/>
          <w:szCs w:val="24"/>
          <w:lang w:val="es-ES" w:eastAsia="es-ES"/>
        </w:rPr>
        <w:t xml:space="preserve">Según se indica por el Consejo de Transporte Público este acto fue notificado el 11 de febrero de 2014 al recurrente y se dice que </w:t>
      </w:r>
      <w:r>
        <w:rPr>
          <w:rFonts w:ascii="Verdana" w:hAnsi="Verdana" w:cs="Verdana"/>
          <w:i/>
          <w:iCs/>
          <w:sz w:val="24"/>
          <w:szCs w:val="24"/>
          <w:lang w:val="es-ES" w:eastAsia="es-ES"/>
        </w:rPr>
        <w:t xml:space="preserve">"Se rechaza ya que las unidades inscritas están fuera de la vida útil, presentan solicitud de inscripción de otras unidades que si están dentro del rango de vida útil pero la fecha de solicitud es del 30-08-2013" </w:t>
      </w:r>
      <w:r>
        <w:rPr>
          <w:rFonts w:ascii="Verdana" w:hAnsi="Verdana" w:cs="Verdana"/>
          <w:sz w:val="24"/>
          <w:szCs w:val="24"/>
          <w:lang w:val="es-ES" w:eastAsia="es-ES"/>
        </w:rPr>
        <w:t>(Léase folio 66 cara y vuelto del expediente administrativo).</w:t>
      </w:r>
    </w:p>
    <w:p w:rsidR="00C859C1" w:rsidRDefault="00493C17">
      <w:pPr>
        <w:numPr>
          <w:ilvl w:val="0"/>
          <w:numId w:val="5"/>
        </w:numPr>
        <w:kinsoku w:val="0"/>
        <w:overflowPunct w:val="0"/>
        <w:autoSpaceDE/>
        <w:autoSpaceDN/>
        <w:adjustRightInd/>
        <w:spacing w:before="288" w:line="301" w:lineRule="exact"/>
        <w:ind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El recurrente presenta Recurso de Revocatoria con Apelación en Subsidio y Nulidad concomitante e indica en lo que interesa que el Decreto 37737-MOPT, </w:t>
      </w:r>
      <w:r>
        <w:rPr>
          <w:rFonts w:ascii="Verdana" w:hAnsi="Verdana" w:cs="Verdana"/>
          <w:b/>
          <w:bCs/>
          <w:sz w:val="24"/>
          <w:szCs w:val="24"/>
          <w:lang w:val="es-ES" w:eastAsia="es-ES"/>
        </w:rPr>
        <w:t>establece que en caso de ser necesario se</w:t>
      </w:r>
    </w:p>
    <w:p w:rsidR="00C859C1" w:rsidRDefault="00C859C1">
      <w:pPr>
        <w:widowControl/>
        <w:rPr>
          <w:sz w:val="24"/>
          <w:szCs w:val="24"/>
        </w:rPr>
        <w:sectPr w:rsidR="00C859C1">
          <w:pgSz w:w="12134" w:h="15840"/>
          <w:pgMar w:top="1440" w:right="1607" w:bottom="190" w:left="1527" w:header="720" w:footer="720" w:gutter="0"/>
          <w:cols w:space="720"/>
          <w:noEndnote/>
        </w:sectPr>
      </w:pPr>
    </w:p>
    <w:p w:rsidR="00C859C1" w:rsidRDefault="00493C17">
      <w:pPr>
        <w:kinsoku w:val="0"/>
        <w:overflowPunct w:val="0"/>
        <w:autoSpaceDE/>
        <w:autoSpaceDN/>
        <w:adjustRightInd/>
        <w:spacing w:before="29" w:line="295" w:lineRule="exact"/>
        <w:ind w:left="72"/>
        <w:jc w:val="both"/>
        <w:textAlignment w:val="baseline"/>
        <w:rPr>
          <w:rFonts w:ascii="Tahoma" w:hAnsi="Tahoma" w:cs="Tahoma"/>
          <w:spacing w:val="10"/>
          <w:sz w:val="25"/>
          <w:szCs w:val="25"/>
          <w:lang w:val="es-ES" w:eastAsia="es-ES"/>
        </w:rPr>
      </w:pPr>
      <w:r>
        <w:rPr>
          <w:rFonts w:ascii="Tahoma" w:hAnsi="Tahoma" w:cs="Tahoma"/>
          <w:b/>
          <w:bCs/>
          <w:spacing w:val="10"/>
          <w:sz w:val="25"/>
          <w:szCs w:val="25"/>
          <w:lang w:val="es-ES" w:eastAsia="es-ES"/>
        </w:rPr>
        <w:lastRenderedPageBreak/>
        <w:t xml:space="preserve">realizan las prevenciones pertinentes con el fin de que se aporte cualquier requisito incompleto o faltante en el término de cinco días, acto que él realizó cuando se le previno, Aportaron la solicitud de </w:t>
      </w:r>
      <w:proofErr w:type="spellStart"/>
      <w:r>
        <w:rPr>
          <w:rFonts w:ascii="Tahoma" w:hAnsi="Tahoma" w:cs="Tahoma"/>
          <w:b/>
          <w:bCs/>
          <w:spacing w:val="10"/>
          <w:sz w:val="25"/>
          <w:szCs w:val="25"/>
          <w:lang w:val="es-ES" w:eastAsia="es-ES"/>
        </w:rPr>
        <w:t>desinscripción</w:t>
      </w:r>
      <w:proofErr w:type="spellEnd"/>
      <w:r>
        <w:rPr>
          <w:rFonts w:ascii="Tahoma" w:hAnsi="Tahoma" w:cs="Tahoma"/>
          <w:b/>
          <w:bCs/>
          <w:spacing w:val="10"/>
          <w:sz w:val="25"/>
          <w:szCs w:val="25"/>
          <w:lang w:val="es-ES" w:eastAsia="es-ES"/>
        </w:rPr>
        <w:t xml:space="preserve"> e inscripción de flota óptima, es decir subsanó el defecto apuntado. </w:t>
      </w:r>
      <w:r>
        <w:rPr>
          <w:rFonts w:ascii="Tahoma" w:hAnsi="Tahoma" w:cs="Tahoma"/>
          <w:spacing w:val="10"/>
          <w:sz w:val="25"/>
          <w:szCs w:val="25"/>
          <w:lang w:val="es-ES" w:eastAsia="es-ES"/>
        </w:rPr>
        <w:t>Al prever el Decreto un plazo para subsanar los defectos apuntados es con el fin de darle la oportunidad al permisionario de corregir dicho incumplimiento caso contrario no tendría razón de ser dicha concesión del plazo. (Léanse folios del 43 al 51 del expediente administrativo)</w:t>
      </w:r>
    </w:p>
    <w:p w:rsidR="00C859C1" w:rsidRDefault="00493C17">
      <w:pPr>
        <w:numPr>
          <w:ilvl w:val="0"/>
          <w:numId w:val="6"/>
        </w:numPr>
        <w:kinsoku w:val="0"/>
        <w:overflowPunct w:val="0"/>
        <w:autoSpaceDE/>
        <w:autoSpaceDN/>
        <w:adjustRightInd/>
        <w:spacing w:before="302" w:line="296" w:lineRule="exact"/>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Mediante acuerdo </w:t>
      </w:r>
      <w:r>
        <w:rPr>
          <w:rFonts w:ascii="Tahoma" w:hAnsi="Tahoma" w:cs="Tahoma"/>
          <w:b/>
          <w:bCs/>
          <w:spacing w:val="10"/>
          <w:sz w:val="25"/>
          <w:szCs w:val="25"/>
          <w:lang w:val="es-ES" w:eastAsia="es-ES"/>
        </w:rPr>
        <w:t xml:space="preserve">8.1.1 de la </w:t>
      </w:r>
      <w:r w:rsidR="00555FAB">
        <w:rPr>
          <w:rFonts w:ascii="Tahoma" w:hAnsi="Tahoma" w:cs="Tahoma"/>
          <w:b/>
          <w:bCs/>
          <w:spacing w:val="10"/>
          <w:sz w:val="25"/>
          <w:szCs w:val="25"/>
          <w:lang w:val="es-ES" w:eastAsia="es-ES"/>
        </w:rPr>
        <w:t>Sesión Ordinaria 51-2014 celebra</w:t>
      </w:r>
      <w:r>
        <w:rPr>
          <w:rFonts w:ascii="Tahoma" w:hAnsi="Tahoma" w:cs="Tahoma"/>
          <w:b/>
          <w:bCs/>
          <w:spacing w:val="10"/>
          <w:sz w:val="25"/>
          <w:szCs w:val="25"/>
          <w:lang w:val="es-ES" w:eastAsia="es-ES"/>
        </w:rPr>
        <w:t xml:space="preserve">da el día 17 de setiembre de 2014, </w:t>
      </w:r>
      <w:r>
        <w:rPr>
          <w:rFonts w:ascii="Tahoma" w:hAnsi="Tahoma" w:cs="Tahoma"/>
          <w:spacing w:val="10"/>
          <w:sz w:val="25"/>
          <w:szCs w:val="25"/>
          <w:lang w:val="es-ES" w:eastAsia="es-ES"/>
        </w:rPr>
        <w:t xml:space="preserve">por la Junta Directiva del CTP, se conoce y avala el </w:t>
      </w:r>
      <w:r>
        <w:rPr>
          <w:rFonts w:ascii="Tahoma" w:hAnsi="Tahoma" w:cs="Tahoma"/>
          <w:b/>
          <w:bCs/>
          <w:spacing w:val="10"/>
          <w:sz w:val="25"/>
          <w:szCs w:val="25"/>
          <w:lang w:val="es-ES" w:eastAsia="es-ES"/>
        </w:rPr>
        <w:t xml:space="preserve">oficio DAJ-2014-000969 </w:t>
      </w:r>
      <w:r>
        <w:rPr>
          <w:rFonts w:ascii="Tahoma" w:hAnsi="Tahoma" w:cs="Tahoma"/>
          <w:spacing w:val="10"/>
          <w:sz w:val="25"/>
          <w:szCs w:val="25"/>
          <w:lang w:val="es-ES" w:eastAsia="es-ES"/>
        </w:rPr>
        <w:t>de la Dirección de Asuntos Jurídicos del 10 de marzo de 2014 y se rechaza el Recurso de Revocatoria por cuanto en la precalificación la recurrente incumplió con lo dispuesto en el artículo 4 del Decreto Ejecutivo número 37737-MOPT, al haber presentado la solicitud de inscripción de flota hasta el día 30 de agosto de 2013, además de no encontrarse nulidad alguna del acto impugnado. (Léanse folios del 2 al 4 y del 39 al 42 del expediente administrativo)</w:t>
      </w:r>
    </w:p>
    <w:p w:rsidR="00C859C1" w:rsidRDefault="00493C17">
      <w:pPr>
        <w:numPr>
          <w:ilvl w:val="0"/>
          <w:numId w:val="7"/>
        </w:numPr>
        <w:kinsoku w:val="0"/>
        <w:overflowPunct w:val="0"/>
        <w:autoSpaceDE/>
        <w:autoSpaceDN/>
        <w:adjustRightInd/>
        <w:spacing w:before="343" w:line="296" w:lineRule="exact"/>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A folios 89 y 90 del expediente se encuentra fotocopia de solicitud de inscripción de Flota Optima presentada por el señor </w:t>
      </w:r>
      <w:r>
        <w:rPr>
          <w:rFonts w:ascii="Tahoma" w:hAnsi="Tahoma" w:cs="Tahoma"/>
          <w:b/>
          <w:bCs/>
          <w:sz w:val="25"/>
          <w:szCs w:val="25"/>
          <w:lang w:val="es-ES" w:eastAsia="es-ES"/>
        </w:rPr>
        <w:t>R</w:t>
      </w:r>
      <w:r w:rsidR="00555FAB">
        <w:rPr>
          <w:rFonts w:ascii="Tahoma" w:hAnsi="Tahoma" w:cs="Tahoma"/>
          <w:b/>
          <w:bCs/>
          <w:sz w:val="25"/>
          <w:szCs w:val="25"/>
          <w:lang w:val="es-ES" w:eastAsia="es-ES"/>
        </w:rPr>
        <w:t>.C.R.</w:t>
      </w:r>
      <w:r>
        <w:rPr>
          <w:rFonts w:ascii="Tahoma" w:hAnsi="Tahoma" w:cs="Tahoma"/>
          <w:b/>
          <w:bCs/>
          <w:sz w:val="25"/>
          <w:szCs w:val="25"/>
          <w:lang w:val="es-ES" w:eastAsia="es-ES"/>
        </w:rPr>
        <w:t xml:space="preserve">, </w:t>
      </w:r>
      <w:r>
        <w:rPr>
          <w:rFonts w:ascii="Tahoma" w:hAnsi="Tahoma" w:cs="Tahoma"/>
          <w:sz w:val="25"/>
          <w:szCs w:val="25"/>
          <w:lang w:val="es-ES" w:eastAsia="es-ES"/>
        </w:rPr>
        <w:t>el 30 de agosto de 2013.</w:t>
      </w:r>
    </w:p>
    <w:p w:rsidR="00C859C1" w:rsidRPr="00555FAB" w:rsidRDefault="00493C17" w:rsidP="00555FAB">
      <w:pPr>
        <w:numPr>
          <w:ilvl w:val="0"/>
          <w:numId w:val="7"/>
        </w:numPr>
        <w:kinsoku w:val="0"/>
        <w:overflowPunct w:val="0"/>
        <w:autoSpaceDE/>
        <w:autoSpaceDN/>
        <w:adjustRightInd/>
        <w:spacing w:before="301" w:line="294" w:lineRule="exact"/>
        <w:jc w:val="both"/>
        <w:textAlignment w:val="baseline"/>
        <w:rPr>
          <w:rFonts w:ascii="Tahoma" w:hAnsi="Tahoma" w:cs="Tahoma"/>
          <w:sz w:val="25"/>
          <w:szCs w:val="25"/>
          <w:lang w:val="es-ES" w:eastAsia="es-ES"/>
        </w:rPr>
      </w:pPr>
      <w:r w:rsidRPr="00555FAB">
        <w:rPr>
          <w:rFonts w:ascii="Tahoma" w:hAnsi="Tahoma" w:cs="Tahoma"/>
          <w:spacing w:val="13"/>
          <w:sz w:val="25"/>
          <w:szCs w:val="25"/>
          <w:lang w:val="es-ES" w:eastAsia="es-ES"/>
        </w:rPr>
        <w:t xml:space="preserve">A folio 88 del expediente se encuentra fotocopia de la contestación a la prevención girada a por el CTP al señor </w:t>
      </w:r>
      <w:r w:rsidRPr="00555FAB">
        <w:rPr>
          <w:rFonts w:ascii="Tahoma" w:hAnsi="Tahoma" w:cs="Tahoma"/>
          <w:b/>
          <w:bCs/>
          <w:spacing w:val="13"/>
          <w:sz w:val="25"/>
          <w:szCs w:val="25"/>
          <w:lang w:val="es-ES" w:eastAsia="es-ES"/>
        </w:rPr>
        <w:t>R</w:t>
      </w:r>
      <w:r w:rsidR="00555FAB" w:rsidRPr="00555FAB">
        <w:rPr>
          <w:rFonts w:ascii="Tahoma" w:hAnsi="Tahoma" w:cs="Tahoma"/>
          <w:b/>
          <w:bCs/>
          <w:spacing w:val="13"/>
          <w:sz w:val="25"/>
          <w:szCs w:val="25"/>
          <w:lang w:val="es-ES" w:eastAsia="es-ES"/>
        </w:rPr>
        <w:t>.C.R.</w:t>
      </w:r>
      <w:r w:rsidRPr="00555FAB">
        <w:rPr>
          <w:rFonts w:ascii="Tahoma" w:hAnsi="Tahoma" w:cs="Tahoma"/>
          <w:b/>
          <w:bCs/>
          <w:sz w:val="25"/>
          <w:szCs w:val="25"/>
          <w:lang w:val="es-ES" w:eastAsia="es-ES"/>
        </w:rPr>
        <w:t>, Mediante Notificación de oferta subsanable.</w:t>
      </w:r>
      <w:r w:rsidR="00555FAB">
        <w:rPr>
          <w:rFonts w:ascii="Tahoma" w:hAnsi="Tahoma" w:cs="Tahoma"/>
          <w:b/>
          <w:bCs/>
          <w:sz w:val="25"/>
          <w:szCs w:val="25"/>
          <w:lang w:val="es-ES" w:eastAsia="es-ES"/>
        </w:rPr>
        <w:t xml:space="preserve"> </w:t>
      </w:r>
      <w:r w:rsidRPr="00555FAB">
        <w:rPr>
          <w:rFonts w:ascii="Tahoma" w:hAnsi="Tahoma" w:cs="Tahoma"/>
          <w:sz w:val="25"/>
          <w:szCs w:val="25"/>
          <w:lang w:val="es-ES" w:eastAsia="es-ES"/>
        </w:rPr>
        <w:t>El</w:t>
      </w:r>
      <w:r w:rsidR="00555FAB">
        <w:rPr>
          <w:rFonts w:ascii="Tahoma" w:hAnsi="Tahoma" w:cs="Tahoma"/>
          <w:sz w:val="25"/>
          <w:szCs w:val="25"/>
          <w:lang w:val="es-ES" w:eastAsia="es-ES"/>
        </w:rPr>
        <w:t xml:space="preserve"> </w:t>
      </w:r>
      <w:r w:rsidRPr="00555FAB">
        <w:rPr>
          <w:rFonts w:ascii="Tahoma" w:hAnsi="Tahoma" w:cs="Tahoma"/>
          <w:sz w:val="25"/>
          <w:szCs w:val="25"/>
          <w:lang w:val="es-ES" w:eastAsia="es-ES"/>
        </w:rPr>
        <w:t>documento tiene fecha 3 de setiembre de 2013 y es presentado ante el consejo-el 4 del mismo mes y año.</w:t>
      </w:r>
    </w:p>
    <w:p w:rsidR="00C859C1" w:rsidRDefault="00493C17">
      <w:pPr>
        <w:numPr>
          <w:ilvl w:val="0"/>
          <w:numId w:val="8"/>
        </w:numPr>
        <w:kinsoku w:val="0"/>
        <w:overflowPunct w:val="0"/>
        <w:autoSpaceDE/>
        <w:autoSpaceDN/>
        <w:adjustRightInd/>
        <w:spacing w:before="644" w:line="296" w:lineRule="exact"/>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HECHOS NO PROBADOS: </w:t>
      </w:r>
      <w:r>
        <w:rPr>
          <w:rFonts w:ascii="Tahoma" w:hAnsi="Tahoma" w:cs="Tahoma"/>
          <w:sz w:val="25"/>
          <w:szCs w:val="25"/>
          <w:lang w:val="es-ES" w:eastAsia="es-ES"/>
        </w:rPr>
        <w:t>Ninguno de importancia para la resolución del presente asunto.</w:t>
      </w:r>
    </w:p>
    <w:p w:rsidR="00C859C1" w:rsidRDefault="00493C17">
      <w:pPr>
        <w:numPr>
          <w:ilvl w:val="0"/>
          <w:numId w:val="8"/>
        </w:numPr>
        <w:kinsoku w:val="0"/>
        <w:overflowPunct w:val="0"/>
        <w:autoSpaceDE/>
        <w:autoSpaceDN/>
        <w:adjustRightInd/>
        <w:spacing w:before="291" w:line="295" w:lineRule="exact"/>
        <w:jc w:val="both"/>
        <w:textAlignment w:val="baseline"/>
        <w:rPr>
          <w:rFonts w:ascii="Tahoma" w:hAnsi="Tahoma" w:cs="Tahoma"/>
          <w:b/>
          <w:bCs/>
          <w:spacing w:val="4"/>
          <w:sz w:val="25"/>
          <w:szCs w:val="25"/>
          <w:lang w:val="es-ES" w:eastAsia="es-ES"/>
        </w:rPr>
      </w:pPr>
      <w:r>
        <w:rPr>
          <w:rFonts w:ascii="Tahoma" w:hAnsi="Tahoma" w:cs="Tahoma"/>
          <w:b/>
          <w:bCs/>
          <w:spacing w:val="4"/>
          <w:sz w:val="25"/>
          <w:szCs w:val="25"/>
          <w:lang w:val="es-ES" w:eastAsia="es-ES"/>
        </w:rPr>
        <w:t>SOBRE EL FONDO</w:t>
      </w:r>
    </w:p>
    <w:p w:rsidR="00C859C1" w:rsidRDefault="00493C17">
      <w:pPr>
        <w:kinsoku w:val="0"/>
        <w:overflowPunct w:val="0"/>
        <w:autoSpaceDE/>
        <w:autoSpaceDN/>
        <w:adjustRightInd/>
        <w:spacing w:before="300" w:after="1430" w:line="295" w:lineRule="exact"/>
        <w:ind w:lef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t xml:space="preserve">OBJETO DEL PROCEDIMIENTO. </w:t>
      </w:r>
      <w:r>
        <w:rPr>
          <w:rFonts w:ascii="Tahoma" w:hAnsi="Tahoma" w:cs="Tahoma"/>
          <w:spacing w:val="12"/>
          <w:sz w:val="25"/>
          <w:szCs w:val="25"/>
          <w:lang w:val="es-ES" w:eastAsia="es-ES"/>
        </w:rPr>
        <w:t xml:space="preserve">Determinar la presunta ilegalidad del </w:t>
      </w:r>
      <w:r>
        <w:rPr>
          <w:rFonts w:ascii="Tahoma" w:hAnsi="Tahoma" w:cs="Tahoma"/>
          <w:b/>
          <w:bCs/>
          <w:spacing w:val="12"/>
          <w:sz w:val="25"/>
          <w:szCs w:val="25"/>
          <w:lang w:val="es-ES" w:eastAsia="es-ES"/>
        </w:rPr>
        <w:t xml:space="preserve">el Artículo 7.2.14 de la Sesión Ordinaria 08-2014, celebrada el 5 de febrero de 2014, por la Junta Directiva del Consejo de Transporte Público </w:t>
      </w:r>
      <w:r>
        <w:rPr>
          <w:rFonts w:ascii="Tahoma" w:hAnsi="Tahoma" w:cs="Tahoma"/>
          <w:spacing w:val="12"/>
          <w:sz w:val="25"/>
          <w:szCs w:val="25"/>
          <w:lang w:val="es-ES" w:eastAsia="es-ES"/>
        </w:rPr>
        <w:t>y se proceda a la anulación del mismo.</w:t>
      </w:r>
    </w:p>
    <w:p w:rsidR="00C859C1" w:rsidRDefault="00C859C1">
      <w:pPr>
        <w:widowControl/>
        <w:rPr>
          <w:sz w:val="24"/>
          <w:szCs w:val="24"/>
        </w:rPr>
        <w:sectPr w:rsidR="00C859C1">
          <w:pgSz w:w="12134" w:h="15840"/>
          <w:pgMar w:top="1420" w:right="1639" w:bottom="200" w:left="1567" w:header="720" w:footer="720" w:gutter="0"/>
          <w:cols w:space="720"/>
          <w:noEndnote/>
        </w:sectPr>
      </w:pPr>
    </w:p>
    <w:p w:rsidR="00C859C1" w:rsidRDefault="00C859C1">
      <w:pPr>
        <w:tabs>
          <w:tab w:val="right" w:pos="3096"/>
        </w:tabs>
        <w:kinsoku w:val="0"/>
        <w:overflowPunct w:val="0"/>
        <w:autoSpaceDE/>
        <w:autoSpaceDN/>
        <w:adjustRightInd/>
        <w:spacing w:before="8" w:line="246" w:lineRule="exact"/>
        <w:textAlignment w:val="baseline"/>
        <w:rPr>
          <w:rFonts w:ascii="Tahoma" w:hAnsi="Tahoma" w:cs="Tahoma"/>
          <w:sz w:val="21"/>
          <w:szCs w:val="21"/>
          <w:lang w:val="es-ES" w:eastAsia="es-ES"/>
        </w:rPr>
      </w:pPr>
    </w:p>
    <w:p w:rsidR="00C859C1" w:rsidRDefault="00C859C1">
      <w:pPr>
        <w:widowControl/>
        <w:rPr>
          <w:sz w:val="24"/>
          <w:szCs w:val="24"/>
        </w:rPr>
        <w:sectPr w:rsidR="00C859C1">
          <w:type w:val="continuous"/>
          <w:pgSz w:w="12134" w:h="15840"/>
          <w:pgMar w:top="1420" w:right="1680" w:bottom="200" w:left="7374" w:header="720" w:footer="720" w:gutter="0"/>
          <w:cols w:space="720"/>
          <w:noEndnote/>
        </w:sectPr>
      </w:pPr>
    </w:p>
    <w:p w:rsidR="00C859C1" w:rsidRDefault="00493C17">
      <w:pPr>
        <w:kinsoku w:val="0"/>
        <w:overflowPunct w:val="0"/>
        <w:autoSpaceDE/>
        <w:autoSpaceDN/>
        <w:adjustRightInd/>
        <w:spacing w:before="1" w:line="287"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lastRenderedPageBreak/>
        <w:t>DE LO ACTUADO POR EL CONSEJO DE TRANSPORTE PÚBLICO</w:t>
      </w:r>
    </w:p>
    <w:p w:rsidR="00C859C1" w:rsidRDefault="00493C17" w:rsidP="00555FAB">
      <w:pPr>
        <w:kinsoku w:val="0"/>
        <w:overflowPunct w:val="0"/>
        <w:autoSpaceDE/>
        <w:autoSpaceDN/>
        <w:adjustRightInd/>
        <w:spacing w:before="287" w:line="299" w:lineRule="exact"/>
        <w:jc w:val="both"/>
        <w:textAlignment w:val="baseline"/>
        <w:rPr>
          <w:rFonts w:ascii="Verdana" w:hAnsi="Verdana" w:cs="Verdana"/>
          <w:i/>
          <w:iCs/>
          <w:sz w:val="24"/>
          <w:szCs w:val="24"/>
          <w:lang w:val="es-ES" w:eastAsia="es-ES"/>
        </w:rPr>
      </w:pPr>
      <w:r>
        <w:rPr>
          <w:rFonts w:ascii="Verdana" w:hAnsi="Verdana" w:cs="Verdana"/>
          <w:spacing w:val="-1"/>
          <w:sz w:val="24"/>
          <w:szCs w:val="24"/>
          <w:lang w:val="es-ES" w:eastAsia="es-ES"/>
        </w:rPr>
        <w:t xml:space="preserve">Mediante </w:t>
      </w:r>
      <w:r>
        <w:rPr>
          <w:rFonts w:ascii="Verdana" w:hAnsi="Verdana" w:cs="Verdana"/>
          <w:b/>
          <w:bCs/>
          <w:spacing w:val="-1"/>
          <w:sz w:val="24"/>
          <w:szCs w:val="24"/>
          <w:lang w:val="es-ES" w:eastAsia="es-ES"/>
        </w:rPr>
        <w:t xml:space="preserve">Artículo 7.2.14 de la Sesión Ordinaria 08-2014, celebrada el 5 de febrero de 2014, LA JUNTA DIRECTIVA DEL CONSEJO DE TRANSPORTE PÚBLICO, </w:t>
      </w:r>
      <w:r>
        <w:rPr>
          <w:rFonts w:ascii="Verdana" w:hAnsi="Verdana" w:cs="Verdana"/>
          <w:spacing w:val="-1"/>
          <w:sz w:val="24"/>
          <w:szCs w:val="24"/>
          <w:lang w:val="es-ES" w:eastAsia="es-ES"/>
        </w:rPr>
        <w:t xml:space="preserve">reafirma lo dispuesto en el acuerdo </w:t>
      </w:r>
      <w:r>
        <w:rPr>
          <w:rFonts w:ascii="Verdana" w:hAnsi="Verdana" w:cs="Verdana"/>
          <w:b/>
          <w:bCs/>
          <w:spacing w:val="-1"/>
          <w:sz w:val="24"/>
          <w:szCs w:val="24"/>
          <w:lang w:val="es-ES" w:eastAsia="es-ES"/>
        </w:rPr>
        <w:t xml:space="preserve">7.1 de la Sesión Ordinaria 94-2013, celebrada el 12 de diciembre de 2013 </w:t>
      </w:r>
      <w:r>
        <w:rPr>
          <w:rFonts w:ascii="Verdana" w:hAnsi="Verdana" w:cs="Verdana"/>
          <w:spacing w:val="-1"/>
          <w:sz w:val="24"/>
          <w:szCs w:val="24"/>
          <w:lang w:val="es-ES" w:eastAsia="es-ES"/>
        </w:rPr>
        <w:t xml:space="preserve">y procede a informar al señor </w:t>
      </w:r>
      <w:r>
        <w:rPr>
          <w:rFonts w:ascii="Verdana" w:hAnsi="Verdana" w:cs="Verdana"/>
          <w:b/>
          <w:bCs/>
          <w:spacing w:val="-1"/>
          <w:sz w:val="24"/>
          <w:szCs w:val="24"/>
          <w:lang w:val="es-ES" w:eastAsia="es-ES"/>
        </w:rPr>
        <w:t>R</w:t>
      </w:r>
      <w:r w:rsidR="00555FAB">
        <w:rPr>
          <w:rFonts w:ascii="Verdana" w:hAnsi="Verdana" w:cs="Verdana"/>
          <w:b/>
          <w:bCs/>
          <w:spacing w:val="-1"/>
          <w:sz w:val="24"/>
          <w:szCs w:val="24"/>
          <w:lang w:val="es-ES" w:eastAsia="es-ES"/>
        </w:rPr>
        <w:t>.J.C.R.</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cédula de identidad número </w:t>
      </w:r>
      <w:r w:rsidR="00555FAB">
        <w:rPr>
          <w:rFonts w:ascii="Verdana" w:hAnsi="Verdana" w:cs="Verdana"/>
          <w:spacing w:val="-1"/>
          <w:sz w:val="24"/>
          <w:szCs w:val="24"/>
          <w:lang w:val="es-ES" w:eastAsia="es-ES"/>
        </w:rPr>
        <w:t>…</w:t>
      </w:r>
      <w:r>
        <w:rPr>
          <w:rFonts w:ascii="Verdana" w:hAnsi="Verdana" w:cs="Verdana"/>
          <w:spacing w:val="-1"/>
          <w:sz w:val="24"/>
          <w:szCs w:val="24"/>
          <w:lang w:val="es-ES" w:eastAsia="es-ES"/>
        </w:rPr>
        <w:t>, en su condición de</w:t>
      </w:r>
      <w:r w:rsidR="00555FAB">
        <w:rPr>
          <w:rFonts w:ascii="Verdana" w:hAnsi="Verdana" w:cs="Verdana"/>
          <w:spacing w:val="-1"/>
          <w:sz w:val="24"/>
          <w:szCs w:val="24"/>
          <w:lang w:val="es-ES" w:eastAsia="es-ES"/>
        </w:rPr>
        <w:t xml:space="preserve"> </w:t>
      </w:r>
      <w:r>
        <w:rPr>
          <w:rFonts w:ascii="Verdana" w:hAnsi="Verdana" w:cs="Verdana"/>
          <w:sz w:val="24"/>
          <w:szCs w:val="24"/>
          <w:lang w:val="es-ES" w:eastAsia="es-ES"/>
        </w:rPr>
        <w:t>permisionario de la ruta descrita como urbano de Orotina</w:t>
      </w:r>
      <w:r>
        <w:rPr>
          <w:rFonts w:ascii="Verdana" w:hAnsi="Verdana" w:cs="Verdana"/>
          <w:i/>
          <w:iCs/>
          <w:sz w:val="24"/>
          <w:szCs w:val="24"/>
          <w:lang w:val="es-ES" w:eastAsia="es-ES"/>
        </w:rPr>
        <w:t>"</w:t>
      </w:r>
      <w:r w:rsidR="00555FAB">
        <w:rPr>
          <w:rFonts w:ascii="Verdana" w:hAnsi="Verdana" w:cs="Verdana"/>
          <w:i/>
          <w:iCs/>
          <w:sz w:val="24"/>
          <w:szCs w:val="24"/>
          <w:lang w:val="es-ES" w:eastAsia="es-ES"/>
        </w:rPr>
        <w:t xml:space="preserve"> </w:t>
      </w:r>
      <w:r>
        <w:rPr>
          <w:rFonts w:ascii="Verdana" w:hAnsi="Verdana" w:cs="Verdana"/>
          <w:i/>
          <w:iCs/>
          <w:sz w:val="24"/>
          <w:szCs w:val="24"/>
          <w:lang w:val="es-ES" w:eastAsia="es-ES"/>
        </w:rPr>
        <w:t>Resultado</w:t>
      </w:r>
      <w:r w:rsidR="00555FAB">
        <w:rPr>
          <w:rFonts w:ascii="Verdana" w:hAnsi="Verdana" w:cs="Verdana"/>
          <w:i/>
          <w:iCs/>
          <w:sz w:val="24"/>
          <w:szCs w:val="24"/>
          <w:lang w:val="es-ES" w:eastAsia="es-ES"/>
        </w:rPr>
        <w:t xml:space="preserve"> </w:t>
      </w:r>
      <w:r>
        <w:rPr>
          <w:rFonts w:ascii="Verdana" w:hAnsi="Verdana" w:cs="Verdana"/>
          <w:i/>
          <w:iCs/>
          <w:sz w:val="24"/>
          <w:szCs w:val="24"/>
          <w:lang w:val="es-ES" w:eastAsia="es-ES"/>
        </w:rPr>
        <w:t xml:space="preserve">de la evaluación pre oferta procedimiento especial abreviado para otorgamiento de concesiones, declaración jurada reporte de flota automotor", </w:t>
      </w:r>
      <w:r>
        <w:rPr>
          <w:rFonts w:ascii="Verdana" w:hAnsi="Verdana" w:cs="Verdana"/>
          <w:sz w:val="24"/>
          <w:szCs w:val="24"/>
          <w:lang w:val="es-ES" w:eastAsia="es-ES"/>
        </w:rPr>
        <w:t xml:space="preserve">Según se indica por el Consejo de Transporte Público este acto fue notificado el 11 de febrero de 2014 al recurrente y se dice que </w:t>
      </w:r>
      <w:r>
        <w:rPr>
          <w:rFonts w:ascii="Verdana" w:hAnsi="Verdana" w:cs="Verdana"/>
          <w:i/>
          <w:iCs/>
          <w:sz w:val="24"/>
          <w:szCs w:val="24"/>
          <w:lang w:val="es-ES" w:eastAsia="es-ES"/>
        </w:rPr>
        <w:t>"Se rechaza ya que las unidades inscritas están fuera de la vida útil, presentan solicitud de inscripción de otras unidades que si están dentro del rango de vida útil pero la fecha de solicitud es del 30-08-2013"</w:t>
      </w:r>
    </w:p>
    <w:p w:rsidR="00C859C1" w:rsidRDefault="00493C17">
      <w:pPr>
        <w:kinsoku w:val="0"/>
        <w:overflowPunct w:val="0"/>
        <w:autoSpaceDE/>
        <w:autoSpaceDN/>
        <w:adjustRightInd/>
        <w:spacing w:before="298" w:line="296" w:lineRule="exact"/>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Mediante acuerdo </w:t>
      </w:r>
      <w:r>
        <w:rPr>
          <w:rFonts w:ascii="Verdana" w:hAnsi="Verdana" w:cs="Verdana"/>
          <w:b/>
          <w:bCs/>
          <w:spacing w:val="1"/>
          <w:sz w:val="24"/>
          <w:szCs w:val="24"/>
          <w:lang w:val="es-ES" w:eastAsia="es-ES"/>
        </w:rPr>
        <w:t xml:space="preserve">8.1.1 de la Sesión Ordinaria 51-2014 celebrada el día 17 de setiembre de 2014, </w:t>
      </w:r>
      <w:r>
        <w:rPr>
          <w:rFonts w:ascii="Verdana" w:hAnsi="Verdana" w:cs="Verdana"/>
          <w:spacing w:val="1"/>
          <w:sz w:val="24"/>
          <w:szCs w:val="24"/>
          <w:lang w:val="es-ES" w:eastAsia="es-ES"/>
        </w:rPr>
        <w:t xml:space="preserve">por la Junta Directiva del CTP, se conoce y avala el </w:t>
      </w:r>
      <w:r>
        <w:rPr>
          <w:rFonts w:ascii="Verdana" w:hAnsi="Verdana" w:cs="Verdana"/>
          <w:b/>
          <w:bCs/>
          <w:spacing w:val="1"/>
          <w:sz w:val="24"/>
          <w:szCs w:val="24"/>
          <w:lang w:val="es-ES" w:eastAsia="es-ES"/>
        </w:rPr>
        <w:t xml:space="preserve">oficio DAJ-2014-000969 </w:t>
      </w:r>
      <w:r>
        <w:rPr>
          <w:rFonts w:ascii="Verdana" w:hAnsi="Verdana" w:cs="Verdana"/>
          <w:spacing w:val="1"/>
          <w:sz w:val="24"/>
          <w:szCs w:val="24"/>
          <w:lang w:val="es-ES" w:eastAsia="es-ES"/>
        </w:rPr>
        <w:t>de la Dirección de Asuntos Jurídicos del 10 de marzo de 2014 y se rechaza el Recurso de Revocatoria por cuanto en la precalificación la recurrente incumplió con lo dispuesto en el artículo 4 del Decreto Ejecutivo número 37737-MOPT, al haber presentado la solicitud de inscripción de flota hasta el día 30 de agosto de 2013, además de no encontrarse nulidad alguna del acto impugnado.</w:t>
      </w:r>
    </w:p>
    <w:p w:rsidR="00C859C1" w:rsidRDefault="00493C17">
      <w:pPr>
        <w:kinsoku w:val="0"/>
        <w:overflowPunct w:val="0"/>
        <w:autoSpaceDE/>
        <w:autoSpaceDN/>
        <w:adjustRightInd/>
        <w:spacing w:before="338" w:line="287"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LOS ARGUMENTOS DE LA RECURRENTE</w:t>
      </w:r>
    </w:p>
    <w:p w:rsidR="00C859C1" w:rsidRDefault="00493C17">
      <w:pPr>
        <w:kinsoku w:val="0"/>
        <w:overflowPunct w:val="0"/>
        <w:autoSpaceDE/>
        <w:autoSpaceDN/>
        <w:adjustRightInd/>
        <w:spacing w:before="301" w:after="1242" w:line="34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recurrente presenta Recurso de Revocatoria con Apelación en Subsidio y Nulidad concomitante e indica en lo que interesa que el Decreto' 37737-MOPT, </w:t>
      </w:r>
      <w:r>
        <w:rPr>
          <w:rFonts w:ascii="Verdana" w:hAnsi="Verdana" w:cs="Verdana"/>
          <w:b/>
          <w:bCs/>
          <w:sz w:val="24"/>
          <w:szCs w:val="24"/>
          <w:lang w:val="es-ES" w:eastAsia="es-ES"/>
        </w:rPr>
        <w:t xml:space="preserve">establece que en caso de ser necesario se realizan las prevenciones pertinentes con el fin de que se aporte cualquier requisito incompleto o faltante en el término de cinco días, acto que él realizó cuando se le previno, aportaron la solicitud de </w:t>
      </w:r>
      <w:proofErr w:type="spellStart"/>
      <w:r>
        <w:rPr>
          <w:rFonts w:ascii="Verdana" w:hAnsi="Verdana" w:cs="Verdana"/>
          <w:b/>
          <w:bCs/>
          <w:sz w:val="24"/>
          <w:szCs w:val="24"/>
          <w:lang w:val="es-ES" w:eastAsia="es-ES"/>
        </w:rPr>
        <w:t>desinscripción</w:t>
      </w:r>
      <w:proofErr w:type="spellEnd"/>
      <w:r>
        <w:rPr>
          <w:rFonts w:ascii="Verdana" w:hAnsi="Verdana" w:cs="Verdana"/>
          <w:b/>
          <w:bCs/>
          <w:sz w:val="24"/>
          <w:szCs w:val="24"/>
          <w:lang w:val="es-ES" w:eastAsia="es-ES"/>
        </w:rPr>
        <w:t xml:space="preserve"> e inscripción de flota óptima, es decir subsanó el defecto apuntado. </w:t>
      </w:r>
      <w:r>
        <w:rPr>
          <w:rFonts w:ascii="Verdana" w:hAnsi="Verdana" w:cs="Verdana"/>
          <w:sz w:val="24"/>
          <w:szCs w:val="24"/>
          <w:lang w:val="es-ES" w:eastAsia="es-ES"/>
        </w:rPr>
        <w:t>Al prever el Decreto un plazo para subsanar los defectos apuntados es con el fin de darle la oportunidad al permisionario de corregir dicho incumplimiento caso contrario no tendría razón de ser dicha concesión del plazo.</w:t>
      </w:r>
    </w:p>
    <w:p w:rsidR="00C859C1" w:rsidRDefault="00C859C1">
      <w:pPr>
        <w:widowControl/>
        <w:rPr>
          <w:sz w:val="24"/>
          <w:szCs w:val="24"/>
        </w:rPr>
        <w:sectPr w:rsidR="00C859C1">
          <w:pgSz w:w="12134" w:h="15840"/>
          <w:pgMar w:top="1420" w:right="1655" w:bottom="210" w:left="1551" w:header="720" w:footer="720" w:gutter="0"/>
          <w:cols w:space="720"/>
          <w:noEndnote/>
        </w:sectPr>
      </w:pPr>
    </w:p>
    <w:p w:rsidR="00C859C1" w:rsidRDefault="00C859C1">
      <w:pPr>
        <w:widowControl/>
        <w:rPr>
          <w:sz w:val="24"/>
          <w:szCs w:val="24"/>
        </w:rPr>
        <w:sectPr w:rsidR="00C859C1">
          <w:type w:val="continuous"/>
          <w:pgSz w:w="12134" w:h="15840"/>
          <w:pgMar w:top="1420" w:right="1690" w:bottom="210" w:left="7364" w:header="720" w:footer="720" w:gutter="0"/>
          <w:cols w:space="720"/>
          <w:noEndnote/>
        </w:sectPr>
      </w:pPr>
    </w:p>
    <w:p w:rsidR="00C859C1" w:rsidRPr="00555FAB" w:rsidRDefault="00493C17" w:rsidP="00555FAB">
      <w:pPr>
        <w:kinsoku w:val="0"/>
        <w:overflowPunct w:val="0"/>
        <w:autoSpaceDE/>
        <w:autoSpaceDN/>
        <w:adjustRightInd/>
        <w:spacing w:before="338" w:line="287" w:lineRule="exact"/>
        <w:textAlignment w:val="baseline"/>
        <w:rPr>
          <w:rFonts w:ascii="Verdana" w:hAnsi="Verdana" w:cs="Verdana"/>
          <w:b/>
          <w:bCs/>
          <w:sz w:val="24"/>
          <w:szCs w:val="24"/>
          <w:lang w:val="es-ES" w:eastAsia="es-ES"/>
        </w:rPr>
      </w:pPr>
      <w:r w:rsidRPr="00555FAB">
        <w:rPr>
          <w:rFonts w:ascii="Verdana" w:hAnsi="Verdana" w:cs="Verdana"/>
          <w:b/>
          <w:bCs/>
          <w:sz w:val="24"/>
          <w:szCs w:val="24"/>
          <w:lang w:val="es-ES" w:eastAsia="es-ES"/>
        </w:rPr>
        <w:lastRenderedPageBreak/>
        <w:t>DEL PRINCIPIO DE LEGALIDAD</w:t>
      </w:r>
    </w:p>
    <w:p w:rsidR="00C859C1" w:rsidRDefault="00493C17">
      <w:pPr>
        <w:kinsoku w:val="0"/>
        <w:overflowPunct w:val="0"/>
        <w:autoSpaceDE/>
        <w:autoSpaceDN/>
        <w:adjustRightInd/>
        <w:spacing w:before="312" w:line="293" w:lineRule="exact"/>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C859C1" w:rsidRDefault="00493C17" w:rsidP="00555FAB">
      <w:pPr>
        <w:kinsoku w:val="0"/>
        <w:overflowPunct w:val="0"/>
        <w:autoSpaceDE/>
        <w:autoSpaceDN/>
        <w:adjustRightInd/>
        <w:spacing w:before="315" w:line="299" w:lineRule="exact"/>
        <w:jc w:val="both"/>
        <w:textAlignment w:val="baseline"/>
        <w:rPr>
          <w:rFonts w:ascii="Tahoma" w:hAnsi="Tahoma" w:cs="Tahoma"/>
          <w:sz w:val="25"/>
          <w:szCs w:val="25"/>
          <w:lang w:val="es-ES" w:eastAsia="es-ES"/>
        </w:rPr>
      </w:pPr>
      <w:r>
        <w:rPr>
          <w:rFonts w:ascii="Tahoma" w:hAnsi="Tahoma" w:cs="Tahoma"/>
          <w:spacing w:val="14"/>
          <w:sz w:val="25"/>
          <w:szCs w:val="25"/>
          <w:lang w:val="es-ES" w:eastAsia="es-ES"/>
        </w:rPr>
        <w:t>La Sala Constitucional de la Corte Suprema de Justicia, en su sentencia No. 2001-02493, de las dieciséis horas, con veinticinco minutos, del</w:t>
      </w:r>
      <w:r w:rsidR="00555FAB">
        <w:rPr>
          <w:rFonts w:ascii="Tahoma" w:hAnsi="Tahoma" w:cs="Tahoma"/>
          <w:spacing w:val="14"/>
          <w:sz w:val="25"/>
          <w:szCs w:val="25"/>
          <w:lang w:val="es-ES" w:eastAsia="es-ES"/>
        </w:rPr>
        <w:t xml:space="preserve"> </w:t>
      </w:r>
      <w:r>
        <w:rPr>
          <w:rFonts w:ascii="Tahoma" w:hAnsi="Tahoma" w:cs="Tahoma"/>
          <w:sz w:val="25"/>
          <w:szCs w:val="25"/>
          <w:lang w:val="es-ES" w:eastAsia="es-ES"/>
        </w:rPr>
        <w:t>veintisiete de marzo del dos mil uno,</w:t>
      </w:r>
      <w:r w:rsidR="00555FAB">
        <w:rPr>
          <w:rFonts w:ascii="Tahoma" w:hAnsi="Tahoma" w:cs="Tahoma"/>
          <w:sz w:val="25"/>
          <w:szCs w:val="25"/>
          <w:lang w:val="es-ES" w:eastAsia="es-ES"/>
        </w:rPr>
        <w:t xml:space="preserve"> </w:t>
      </w:r>
      <w:r>
        <w:rPr>
          <w:rFonts w:ascii="Tahoma" w:hAnsi="Tahoma" w:cs="Tahoma"/>
          <w:sz w:val="25"/>
          <w:szCs w:val="25"/>
          <w:lang w:val="es-ES" w:eastAsia="es-ES"/>
        </w:rPr>
        <w:t>respecto del Principio de</w:t>
      </w:r>
      <w:r>
        <w:rPr>
          <w:rFonts w:ascii="Tahoma" w:hAnsi="Tahoma" w:cs="Tahoma"/>
          <w:sz w:val="25"/>
          <w:szCs w:val="25"/>
          <w:lang w:val="es-ES" w:eastAsia="es-ES"/>
        </w:rPr>
        <w:br/>
        <w:t>Legalidad, manifestó:</w:t>
      </w:r>
    </w:p>
    <w:p w:rsidR="00C859C1" w:rsidRDefault="00493C17">
      <w:pPr>
        <w:kinsoku w:val="0"/>
        <w:overflowPunct w:val="0"/>
        <w:autoSpaceDE/>
        <w:autoSpaceDN/>
        <w:adjustRightInd/>
        <w:spacing w:before="310" w:line="296" w:lineRule="exact"/>
        <w:jc w:val="both"/>
        <w:textAlignment w:val="baseline"/>
        <w:rPr>
          <w:rFonts w:ascii="Tahoma" w:hAnsi="Tahoma" w:cs="Tahoma"/>
          <w:b/>
          <w:bCs/>
          <w:spacing w:val="12"/>
          <w:sz w:val="25"/>
          <w:szCs w:val="25"/>
          <w:lang w:val="es-ES" w:eastAsia="es-ES"/>
        </w:rPr>
      </w:pPr>
      <w:r>
        <w:rPr>
          <w:rFonts w:ascii="Tahoma" w:hAnsi="Tahoma" w:cs="Tahoma"/>
          <w:spacing w:val="12"/>
          <w:sz w:val="25"/>
          <w:szCs w:val="25"/>
          <w:lang w:val="es-ES" w:eastAsia="es-ES"/>
        </w:rPr>
        <w:t xml:space="preserve">"II.- Sobre el principio de legalidad: El principio de legalidad que se consagra en el artículo 11 de nuestra Constitución Política, significa que </w:t>
      </w:r>
      <w:r>
        <w:rPr>
          <w:rFonts w:ascii="Tahoma" w:hAnsi="Tahoma" w:cs="Tahoma"/>
          <w:b/>
          <w:bCs/>
          <w:spacing w:val="12"/>
          <w:sz w:val="25"/>
          <w:szCs w:val="25"/>
          <w:u w:val="single"/>
          <w:lang w:val="es-ES" w:eastAsia="es-ES"/>
        </w:rPr>
        <w:t>los actos y comportamientos de la Administración deben de estar regulados por norma escrita,</w:t>
      </w:r>
      <w:r>
        <w:rPr>
          <w:rFonts w:ascii="Tahoma" w:hAnsi="Tahoma" w:cs="Tahoma"/>
          <w:spacing w:val="12"/>
          <w:sz w:val="25"/>
          <w:szCs w:val="25"/>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sidR="00555FAB">
        <w:rPr>
          <w:rFonts w:ascii="Tahoma" w:hAnsi="Tahoma" w:cs="Tahoma"/>
          <w:b/>
          <w:bCs/>
          <w:spacing w:val="12"/>
          <w:sz w:val="25"/>
          <w:szCs w:val="25"/>
          <w:u w:val="single"/>
          <w:lang w:val="es-ES" w:eastAsia="es-ES"/>
        </w:rPr>
        <w:t>el cual significa  q</w:t>
      </w:r>
      <w:r>
        <w:rPr>
          <w:rFonts w:ascii="Tahoma" w:hAnsi="Tahoma" w:cs="Tahoma"/>
          <w:b/>
          <w:bCs/>
          <w:spacing w:val="12"/>
          <w:sz w:val="25"/>
          <w:szCs w:val="25"/>
          <w:u w:val="single"/>
          <w:lang w:val="es-ES" w:eastAsia="es-ES"/>
        </w:rPr>
        <w:t>ue las instituciones públicas solamente pueden actuar en la  medida en la que se encuentren apoderadas para hacerlo por el  mismo ordenamiento y normalmente a texto expreso,</w:t>
      </w:r>
      <w:r>
        <w:rPr>
          <w:rFonts w:ascii="Tahoma" w:hAnsi="Tahoma" w:cs="Tahoma"/>
          <w:b/>
          <w:bCs/>
          <w:spacing w:val="12"/>
          <w:sz w:val="25"/>
          <w:szCs w:val="25"/>
          <w:lang w:val="es-ES" w:eastAsia="es-ES"/>
        </w:rPr>
        <w:t xml:space="preserve"> en </w:t>
      </w:r>
      <w:r>
        <w:rPr>
          <w:rFonts w:ascii="Tahoma" w:hAnsi="Tahoma" w:cs="Tahoma"/>
          <w:b/>
          <w:bCs/>
          <w:spacing w:val="12"/>
          <w:sz w:val="25"/>
          <w:szCs w:val="25"/>
          <w:u w:val="single"/>
          <w:lang w:val="es-ES" w:eastAsia="es-ES"/>
        </w:rPr>
        <w:t xml:space="preserve">consecuencia solo le es permitido lo </w:t>
      </w:r>
      <w:r w:rsidR="00555FAB">
        <w:rPr>
          <w:rFonts w:ascii="Tahoma" w:hAnsi="Tahoma" w:cs="Tahoma"/>
          <w:b/>
          <w:bCs/>
          <w:spacing w:val="12"/>
          <w:sz w:val="25"/>
          <w:szCs w:val="25"/>
          <w:u w:val="single"/>
          <w:lang w:val="es-ES" w:eastAsia="es-ES"/>
        </w:rPr>
        <w:t>q</w:t>
      </w:r>
      <w:r>
        <w:rPr>
          <w:rFonts w:ascii="Tahoma" w:hAnsi="Tahoma" w:cs="Tahoma"/>
          <w:b/>
          <w:bCs/>
          <w:spacing w:val="12"/>
          <w:sz w:val="25"/>
          <w:szCs w:val="25"/>
          <w:u w:val="single"/>
          <w:lang w:val="es-ES" w:eastAsia="es-ES"/>
        </w:rPr>
        <w:t xml:space="preserve">ue esté  constitucionalmente y legalmente autorizado en forma expresa y </w:t>
      </w:r>
      <w:r>
        <w:rPr>
          <w:rFonts w:ascii="Verdana" w:hAnsi="Verdana" w:cs="Verdana"/>
          <w:b/>
          <w:bCs/>
          <w:i/>
          <w:iCs/>
          <w:spacing w:val="12"/>
          <w:sz w:val="24"/>
          <w:szCs w:val="24"/>
          <w:u w:val="single"/>
          <w:lang w:val="es-ES" w:eastAsia="es-ES"/>
        </w:rPr>
        <w:t>todo lo que no les esté autorizado les está vedado. "</w:t>
      </w:r>
      <w:r>
        <w:rPr>
          <w:rFonts w:ascii="Tahoma" w:hAnsi="Tahoma" w:cs="Tahoma"/>
          <w:b/>
          <w:bCs/>
          <w:spacing w:val="12"/>
          <w:sz w:val="25"/>
          <w:szCs w:val="25"/>
          <w:lang w:val="es-ES" w:eastAsia="es-ES"/>
        </w:rPr>
        <w:t xml:space="preserve"> (Lo resaltado no es del original)</w:t>
      </w:r>
    </w:p>
    <w:p w:rsidR="00C859C1" w:rsidRDefault="00493C17">
      <w:pPr>
        <w:kinsoku w:val="0"/>
        <w:overflowPunct w:val="0"/>
        <w:autoSpaceDE/>
        <w:autoSpaceDN/>
        <w:adjustRightInd/>
        <w:spacing w:before="286" w:line="293" w:lineRule="exact"/>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El Principio de Legalidad constituye pues el marco de acción o actuación al cual se encuentra sujeto todo funcionario público y de no ajustarse a éste sus actos son nulos.</w:t>
      </w:r>
    </w:p>
    <w:p w:rsidR="00C859C1" w:rsidRDefault="00493C17">
      <w:pPr>
        <w:kinsoku w:val="0"/>
        <w:overflowPunct w:val="0"/>
        <w:autoSpaceDE/>
        <w:autoSpaceDN/>
        <w:adjustRightInd/>
        <w:spacing w:before="602" w:line="291" w:lineRule="exact"/>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CASO CONCRETO</w:t>
      </w:r>
    </w:p>
    <w:p w:rsidR="00C859C1" w:rsidRDefault="00493C17">
      <w:pPr>
        <w:kinsoku w:val="0"/>
        <w:overflowPunct w:val="0"/>
        <w:autoSpaceDE/>
        <w:autoSpaceDN/>
        <w:adjustRightInd/>
        <w:spacing w:before="317" w:after="940" w:line="293" w:lineRule="exact"/>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En el presente asunto, vemos que el Recurrente presento su oferta en el mes de julio de 2013 para participar en la precalificación para el cumplimiento y aplicación del Transitorio II de la Ley Número 8826, mediante la aplicación del procedimiento abreviado de licitación pública para el otorgamiento de concesiones en el transporte público remunerado de personas en rutas regulares.</w:t>
      </w:r>
    </w:p>
    <w:p w:rsidR="00C859C1" w:rsidRDefault="00C859C1">
      <w:pPr>
        <w:widowControl/>
        <w:rPr>
          <w:sz w:val="24"/>
          <w:szCs w:val="24"/>
        </w:rPr>
        <w:sectPr w:rsidR="00C859C1">
          <w:pgSz w:w="12134" w:h="15840"/>
          <w:pgMar w:top="1380" w:right="1627" w:bottom="200" w:left="1579" w:header="720" w:footer="720" w:gutter="0"/>
          <w:cols w:space="720"/>
          <w:noEndnote/>
        </w:sectPr>
      </w:pPr>
    </w:p>
    <w:p w:rsidR="00C859C1" w:rsidRDefault="00C859C1">
      <w:pPr>
        <w:widowControl/>
        <w:rPr>
          <w:sz w:val="24"/>
          <w:szCs w:val="24"/>
        </w:rPr>
        <w:sectPr w:rsidR="00C859C1">
          <w:type w:val="continuous"/>
          <w:pgSz w:w="12134" w:h="15840"/>
          <w:pgMar w:top="1380" w:right="1678" w:bottom="200" w:left="7376" w:header="720" w:footer="720" w:gutter="0"/>
          <w:cols w:space="720"/>
          <w:noEndnote/>
        </w:sectPr>
      </w:pPr>
    </w:p>
    <w:p w:rsidR="00C859C1" w:rsidRDefault="00493C17">
      <w:pPr>
        <w:kinsoku w:val="0"/>
        <w:overflowPunct w:val="0"/>
        <w:autoSpaceDE/>
        <w:autoSpaceDN/>
        <w:adjustRightInd/>
        <w:spacing w:line="29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No obstante lo anterior, al no contar con la vida útil requerida las unidades que tenía el recurrente inscritas, se le giró prevención el 27 de agosto de 2013, para que subsanara dicho requisito.</w:t>
      </w:r>
    </w:p>
    <w:p w:rsidR="00C859C1" w:rsidRDefault="00493C17">
      <w:pPr>
        <w:kinsoku w:val="0"/>
        <w:overflowPunct w:val="0"/>
        <w:autoSpaceDE/>
        <w:autoSpaceDN/>
        <w:adjustRightInd/>
        <w:spacing w:before="282" w:line="298"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Recurrente da respuesta a dicha prevención mediante documento de fecha 3 de setiembre de 2013 y el cual fue presentado ante el Consejo el 4 del mismo mes y año, en el hace referencia a la solicitud de cambio de flota optima que presentara.</w:t>
      </w:r>
    </w:p>
    <w:p w:rsidR="00C859C1" w:rsidRDefault="00493C17">
      <w:pPr>
        <w:kinsoku w:val="0"/>
        <w:overflowPunct w:val="0"/>
        <w:autoSpaceDE/>
        <w:autoSpaceDN/>
        <w:adjustRightInd/>
        <w:spacing w:before="290" w:line="298"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A folios 89 y 90 del expediente se encuentra fotocopia de solicitud de inscripción de Flota Optima presentada por el señor </w:t>
      </w:r>
      <w:r>
        <w:rPr>
          <w:rFonts w:ascii="Verdana" w:hAnsi="Verdana" w:cs="Verdana"/>
          <w:b/>
          <w:bCs/>
          <w:sz w:val="24"/>
          <w:szCs w:val="24"/>
          <w:lang w:val="es-ES" w:eastAsia="es-ES"/>
        </w:rPr>
        <w:t>R</w:t>
      </w:r>
      <w:r w:rsidR="00555FAB">
        <w:rPr>
          <w:rFonts w:ascii="Verdana" w:hAnsi="Verdana" w:cs="Verdana"/>
          <w:b/>
          <w:bCs/>
          <w:sz w:val="24"/>
          <w:szCs w:val="24"/>
          <w:lang w:val="es-ES" w:eastAsia="es-ES"/>
        </w:rPr>
        <w:t>.C.R.</w:t>
      </w:r>
      <w:r>
        <w:rPr>
          <w:rFonts w:ascii="Verdana" w:hAnsi="Verdana" w:cs="Verdana"/>
          <w:b/>
          <w:bCs/>
          <w:sz w:val="24"/>
          <w:szCs w:val="24"/>
          <w:lang w:val="es-ES" w:eastAsia="es-ES"/>
        </w:rPr>
        <w:t xml:space="preserve">, </w:t>
      </w:r>
      <w:r>
        <w:rPr>
          <w:rFonts w:ascii="Verdana" w:hAnsi="Verdana" w:cs="Verdana"/>
          <w:sz w:val="24"/>
          <w:szCs w:val="24"/>
          <w:lang w:val="es-ES" w:eastAsia="es-ES"/>
        </w:rPr>
        <w:t>la cual dirige a la Licenciada Gina Ramírez Zamora jefe del Departamento de Administración de Concesiones y Permisos en el que solicita se inscriban las unidades PB-</w:t>
      </w:r>
      <w:r w:rsidR="00555FAB">
        <w:rPr>
          <w:rFonts w:ascii="Verdana" w:hAnsi="Verdana" w:cs="Verdana"/>
          <w:sz w:val="24"/>
          <w:szCs w:val="24"/>
          <w:lang w:val="es-ES" w:eastAsia="es-ES"/>
        </w:rPr>
        <w:t>XXX</w:t>
      </w:r>
      <w:r>
        <w:rPr>
          <w:rFonts w:ascii="Verdana" w:hAnsi="Verdana" w:cs="Verdana"/>
          <w:sz w:val="24"/>
          <w:szCs w:val="24"/>
          <w:lang w:val="es-ES" w:eastAsia="es-ES"/>
        </w:rPr>
        <w:t xml:space="preserve"> modelo 2011 y SJB-</w:t>
      </w:r>
      <w:r w:rsidR="00555FAB">
        <w:rPr>
          <w:rFonts w:ascii="Verdana" w:hAnsi="Verdana" w:cs="Verdana"/>
          <w:sz w:val="24"/>
          <w:szCs w:val="24"/>
          <w:lang w:val="es-ES" w:eastAsia="es-ES"/>
        </w:rPr>
        <w:t>XXXX</w:t>
      </w:r>
      <w:r>
        <w:rPr>
          <w:rFonts w:ascii="Verdana" w:hAnsi="Verdana" w:cs="Verdana"/>
          <w:sz w:val="24"/>
          <w:szCs w:val="24"/>
          <w:lang w:val="es-ES" w:eastAsia="es-ES"/>
        </w:rPr>
        <w:t xml:space="preserve"> modelo 1999 dicho documento tiene fecha 30 de agosto de 2013 y fue presentado en ventanilla única del Consejo el 3 de setiembre de 2013</w:t>
      </w:r>
    </w:p>
    <w:p w:rsidR="00C859C1" w:rsidRDefault="00493C17">
      <w:pPr>
        <w:kinsoku w:val="0"/>
        <w:overflowPunct w:val="0"/>
        <w:autoSpaceDE/>
        <w:autoSpaceDN/>
        <w:adjustRightInd/>
        <w:spacing w:before="303"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Visto l</w:t>
      </w:r>
      <w:r w:rsidR="00555FAB">
        <w:rPr>
          <w:rFonts w:ascii="Verdana" w:hAnsi="Verdana" w:cs="Verdana"/>
          <w:sz w:val="24"/>
          <w:szCs w:val="24"/>
          <w:lang w:val="es-ES" w:eastAsia="es-ES"/>
        </w:rPr>
        <w:t>o</w:t>
      </w:r>
      <w:r>
        <w:rPr>
          <w:rFonts w:ascii="Verdana" w:hAnsi="Verdana" w:cs="Verdana"/>
          <w:sz w:val="24"/>
          <w:szCs w:val="24"/>
          <w:lang w:val="es-ES" w:eastAsia="es-ES"/>
        </w:rPr>
        <w:t xml:space="preserve"> indicado supra, este Tribunal procede a expresar sus razonamientos jurídicos, ya que discrepa de la motivación dada por la Junta Directiva del CTP, para denegar la solicitud realizada por el recurrente.</w:t>
      </w:r>
    </w:p>
    <w:p w:rsidR="00C859C1" w:rsidRDefault="00493C17">
      <w:pPr>
        <w:kinsoku w:val="0"/>
        <w:overflowPunct w:val="0"/>
        <w:autoSpaceDE/>
        <w:autoSpaceDN/>
        <w:adjustRightInd/>
        <w:spacing w:before="302" w:line="298"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En primer lugar, debe tenerse presente que en la especie nos encontramos frente a un procedimiento de contratación administrativa, en la que por disposición de la Ley y por el interés público de pasar de permisos a Concesiones, existe un solo oferente, que es precisamente el permisionario que ha venido prestando el servicio en la ruta de que se trate.</w:t>
      </w:r>
    </w:p>
    <w:p w:rsidR="00C859C1" w:rsidRDefault="00493C17">
      <w:pPr>
        <w:kinsoku w:val="0"/>
        <w:overflowPunct w:val="0"/>
        <w:autoSpaceDE/>
        <w:autoSpaceDN/>
        <w:adjustRightInd/>
        <w:spacing w:before="284" w:line="298" w:lineRule="exact"/>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Por otro lado, la etapa en la que se da el rechazo de la oferta del recurrente es en la </w:t>
      </w:r>
      <w:r>
        <w:rPr>
          <w:rFonts w:ascii="Verdana" w:hAnsi="Verdana" w:cs="Verdana"/>
          <w:b/>
          <w:bCs/>
          <w:i/>
          <w:iCs/>
          <w:spacing w:val="2"/>
          <w:sz w:val="24"/>
          <w:szCs w:val="24"/>
          <w:lang w:val="es-ES" w:eastAsia="es-ES"/>
        </w:rPr>
        <w:t xml:space="preserve">Etapa de Precalificación, </w:t>
      </w:r>
      <w:r>
        <w:rPr>
          <w:rFonts w:ascii="Verdana" w:hAnsi="Verdana" w:cs="Verdana"/>
          <w:spacing w:val="2"/>
          <w:sz w:val="24"/>
          <w:szCs w:val="24"/>
          <w:lang w:val="es-ES" w:eastAsia="es-ES"/>
        </w:rPr>
        <w:t>momento en el cual, se presenta la oferta y la Administración puede valorar con parámetros, más flexibles y ajustar lo que considere necesario en pro del fin público, más aún como en este caso en que estamos en presencia de una oferta única.</w:t>
      </w:r>
    </w:p>
    <w:p w:rsidR="00C859C1" w:rsidRDefault="00493C17">
      <w:pPr>
        <w:kinsoku w:val="0"/>
        <w:overflowPunct w:val="0"/>
        <w:autoSpaceDE/>
        <w:autoSpaceDN/>
        <w:adjustRightInd/>
        <w:spacing w:before="278" w:after="1238" w:line="298"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Si bien el análisis que hace la Junta Directiva se sustenta en el artículo 4, inciso c), del Decreto 37737-MOPT; tal como lo indica el mismo recurrente, la prevención se hace precisamente para que subsane los requisitos que faltan o son imperfectos y para este órgano debe analizarse conglobando e integrando el ordenamiento jurídico procurando la permanencia de la oferta presentada.</w:t>
      </w:r>
    </w:p>
    <w:p w:rsidR="00C859C1" w:rsidRDefault="00C859C1">
      <w:pPr>
        <w:widowControl/>
        <w:rPr>
          <w:sz w:val="24"/>
          <w:szCs w:val="24"/>
        </w:rPr>
        <w:sectPr w:rsidR="00C859C1">
          <w:pgSz w:w="12134" w:h="15840"/>
          <w:pgMar w:top="1420" w:right="1636" w:bottom="220" w:left="1570" w:header="720" w:footer="720" w:gutter="0"/>
          <w:cols w:space="720"/>
          <w:noEndnote/>
        </w:sectPr>
      </w:pPr>
    </w:p>
    <w:p w:rsidR="00C859C1" w:rsidRDefault="00C859C1">
      <w:pPr>
        <w:widowControl/>
        <w:rPr>
          <w:sz w:val="24"/>
          <w:szCs w:val="24"/>
        </w:rPr>
        <w:sectPr w:rsidR="00C859C1">
          <w:type w:val="continuous"/>
          <w:pgSz w:w="12134" w:h="15840"/>
          <w:pgMar w:top="1420" w:right="1678" w:bottom="220" w:left="7376" w:header="720" w:footer="720" w:gutter="0"/>
          <w:cols w:space="720"/>
          <w:noEndnote/>
        </w:sectPr>
      </w:pPr>
    </w:p>
    <w:p w:rsidR="00C859C1" w:rsidRDefault="00493C17">
      <w:pPr>
        <w:kinsoku w:val="0"/>
        <w:overflowPunct w:val="0"/>
        <w:autoSpaceDE/>
        <w:autoSpaceDN/>
        <w:adjustRightInd/>
        <w:spacing w:before="8" w:line="296"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Debe tenerse en claro que el Procedimiento q</w:t>
      </w:r>
      <w:r w:rsidR="00555FAB">
        <w:rPr>
          <w:rFonts w:ascii="Verdana" w:hAnsi="Verdana" w:cs="Verdana"/>
          <w:sz w:val="24"/>
          <w:szCs w:val="24"/>
          <w:lang w:val="es-ES" w:eastAsia="es-ES"/>
        </w:rPr>
        <w:t>ue se realiza se da como un meca</w:t>
      </w:r>
      <w:r>
        <w:rPr>
          <w:rFonts w:ascii="Verdana" w:hAnsi="Verdana" w:cs="Verdana"/>
          <w:sz w:val="24"/>
          <w:szCs w:val="24"/>
          <w:lang w:val="es-ES" w:eastAsia="es-ES"/>
        </w:rPr>
        <w:t>nismo para ordenar y cumplir con reiterados votos de la misma Sala Constitucional, en el sentido de que la forma adecuada y normal de explotar y prestar los servicios públicos es a través de la concesión y no del permiso. Se procura entonces mediante un procedimiento especial y una Ley específica la 8826, otorgar a los operadores actuales en condición precaria la condición de concesionarios.</w:t>
      </w:r>
    </w:p>
    <w:p w:rsidR="00C859C1" w:rsidRDefault="00493C17">
      <w:pPr>
        <w:kinsoku w:val="0"/>
        <w:overflowPunct w:val="0"/>
        <w:autoSpaceDE/>
        <w:autoSpaceDN/>
        <w:adjustRightInd/>
        <w:spacing w:before="304" w:line="296"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Tenemos entonces, que solo existe un oferente que es el permisionario que ha venido prestando el servicio, en este sentido, si se demuestra que hay incumplimientos serios y que la capacidad empresarial para hacer frente a la concesión no cumple con los requerimientos de la Ley, debe rechazarse esa solicitud y sacar a licitación por las vías normales la concesión de la ruta que se trate, pero si como en el caso presente, el operador cumple con los requisitos y </w:t>
      </w:r>
      <w:proofErr w:type="spellStart"/>
      <w:r>
        <w:rPr>
          <w:rFonts w:ascii="Verdana" w:hAnsi="Verdana" w:cs="Verdana"/>
          <w:sz w:val="24"/>
          <w:szCs w:val="24"/>
          <w:lang w:val="es-ES" w:eastAsia="es-ES"/>
        </w:rPr>
        <w:t>esta</w:t>
      </w:r>
      <w:proofErr w:type="spellEnd"/>
      <w:r>
        <w:rPr>
          <w:rFonts w:ascii="Verdana" w:hAnsi="Verdana" w:cs="Verdana"/>
          <w:sz w:val="24"/>
          <w:szCs w:val="24"/>
          <w:lang w:val="es-ES" w:eastAsia="es-ES"/>
        </w:rPr>
        <w:t xml:space="preserve"> presentando solicitud de que se le inscriba flota optima y se le rechaza por una norma del reglamento que indica que debió hacerse un mes antes de presentar la solicitud, desde la óptica de este Tribunal, debe acogerse el recurso por cuanto el acto es contrario al principio de razonabilidad y proporcionalidad de los actos administrativos, pues causa más daño a los intereses de la colectividad y al espíritu mismo de la Ley indicada supra, el rechazar a un oferente que como se puede colegir de los documentos del expediente cumple con todos los requisitos y está solicitando se le inscriba flota óptima para estar acorde a los requerimientos.</w:t>
      </w:r>
    </w:p>
    <w:p w:rsidR="00C859C1" w:rsidRDefault="00493C17">
      <w:pPr>
        <w:kinsoku w:val="0"/>
        <w:overflowPunct w:val="0"/>
        <w:autoSpaceDE/>
        <w:autoSpaceDN/>
        <w:adjustRightInd/>
        <w:spacing w:before="288" w:line="296" w:lineRule="exact"/>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Como se indicó anteriormente en esta etapa de precalificación es donde con mayor flexibilización y por tratarse de oferta única, la Administración puede valorar con mayor flexibilidad los asuntos y como en este caso, realmente es desproporcionado y poco razonable el rechazar una oferta como la del recurrente, por cuanto no presentó sustitución de flota un mes antes de presentar la solicitud.</w:t>
      </w:r>
    </w:p>
    <w:p w:rsidR="00C859C1" w:rsidRDefault="00493C17">
      <w:pPr>
        <w:kinsoku w:val="0"/>
        <w:overflowPunct w:val="0"/>
        <w:autoSpaceDE/>
        <w:autoSpaceDN/>
        <w:adjustRightInd/>
        <w:spacing w:before="282" w:line="296" w:lineRule="exact"/>
        <w:jc w:val="both"/>
        <w:textAlignment w:val="baseline"/>
        <w:rPr>
          <w:rFonts w:ascii="Verdana" w:hAnsi="Verdana" w:cs="Verdana"/>
          <w:b/>
          <w:bCs/>
          <w:spacing w:val="1"/>
          <w:sz w:val="24"/>
          <w:szCs w:val="24"/>
          <w:lang w:val="es-ES" w:eastAsia="es-ES"/>
        </w:rPr>
      </w:pPr>
      <w:r>
        <w:rPr>
          <w:rFonts w:ascii="Verdana" w:hAnsi="Verdana" w:cs="Verdana"/>
          <w:spacing w:val="1"/>
          <w:sz w:val="24"/>
          <w:szCs w:val="24"/>
          <w:lang w:val="es-ES" w:eastAsia="es-ES"/>
        </w:rPr>
        <w:t xml:space="preserve">Sobre el tema de oferta única la Contraloría a emitido gran cantidad de Jurisprudencia administrativa tal es el caso de la </w:t>
      </w:r>
      <w:r>
        <w:rPr>
          <w:rFonts w:ascii="Verdana" w:hAnsi="Verdana" w:cs="Verdana"/>
          <w:b/>
          <w:bCs/>
          <w:spacing w:val="1"/>
          <w:sz w:val="24"/>
          <w:szCs w:val="24"/>
          <w:lang w:val="es-ES" w:eastAsia="es-ES"/>
        </w:rPr>
        <w:t>Resolución No. R-</w:t>
      </w:r>
      <w:r>
        <w:rPr>
          <w:rFonts w:ascii="Verdana" w:hAnsi="Verdana" w:cs="Verdana"/>
          <w:b/>
          <w:bCs/>
          <w:spacing w:val="1"/>
          <w:sz w:val="24"/>
          <w:szCs w:val="24"/>
          <w:u w:val="single"/>
          <w:lang w:val="es-ES" w:eastAsia="es-ES"/>
        </w:rPr>
        <w:t>DAGJ-008-2000</w:t>
      </w:r>
      <w:r>
        <w:rPr>
          <w:rFonts w:ascii="Verdana" w:hAnsi="Verdana" w:cs="Verdana"/>
          <w:b/>
          <w:bCs/>
          <w:spacing w:val="1"/>
          <w:sz w:val="24"/>
          <w:szCs w:val="24"/>
          <w:lang w:val="es-ES" w:eastAsia="es-ES"/>
        </w:rPr>
        <w:t xml:space="preserve"> de las 11:45 del 10 de enero del 2000, que indica:</w:t>
      </w:r>
    </w:p>
    <w:p w:rsidR="00C859C1" w:rsidRDefault="00493C17">
      <w:pPr>
        <w:kinsoku w:val="0"/>
        <w:overflowPunct w:val="0"/>
        <w:autoSpaceDE/>
        <w:autoSpaceDN/>
        <w:adjustRightInd/>
        <w:spacing w:before="374" w:line="296" w:lineRule="exact"/>
        <w:ind w:left="576"/>
        <w:textAlignment w:val="baseline"/>
        <w:rPr>
          <w:rFonts w:ascii="Verdana" w:hAnsi="Verdana" w:cs="Verdana"/>
          <w:b/>
          <w:bCs/>
          <w:i/>
          <w:iCs/>
          <w:spacing w:val="-10"/>
          <w:sz w:val="24"/>
          <w:szCs w:val="24"/>
          <w:lang w:val="es-ES" w:eastAsia="es-ES"/>
        </w:rPr>
      </w:pPr>
      <w:r>
        <w:rPr>
          <w:rFonts w:ascii="Verdana" w:hAnsi="Verdana" w:cs="Verdana"/>
          <w:b/>
          <w:bCs/>
          <w:i/>
          <w:iCs/>
          <w:spacing w:val="-10"/>
          <w:sz w:val="24"/>
          <w:szCs w:val="24"/>
          <w:lang w:val="es-ES" w:eastAsia="es-ES"/>
        </w:rPr>
        <w:t>"Oferta. Oferta Única. Principio de Igualdad No Aplica</w:t>
      </w:r>
    </w:p>
    <w:p w:rsidR="00C859C1" w:rsidRDefault="00493C17">
      <w:pPr>
        <w:kinsoku w:val="0"/>
        <w:overflowPunct w:val="0"/>
        <w:autoSpaceDE/>
        <w:autoSpaceDN/>
        <w:adjustRightInd/>
        <w:spacing w:before="118" w:after="618" w:line="270" w:lineRule="exact"/>
        <w:ind w:left="576" w:right="648"/>
        <w:jc w:val="both"/>
        <w:textAlignment w:val="baseline"/>
        <w:rPr>
          <w:rFonts w:ascii="Verdana" w:hAnsi="Verdana" w:cs="Verdana"/>
          <w:i/>
          <w:iCs/>
          <w:spacing w:val="-10"/>
          <w:sz w:val="24"/>
          <w:szCs w:val="24"/>
          <w:lang w:val="es-ES" w:eastAsia="es-ES"/>
        </w:rPr>
      </w:pPr>
      <w:r>
        <w:rPr>
          <w:rFonts w:ascii="Verdana" w:hAnsi="Verdana" w:cs="Verdana"/>
          <w:i/>
          <w:iCs/>
          <w:spacing w:val="-10"/>
          <w:sz w:val="24"/>
          <w:szCs w:val="24"/>
          <w:lang w:val="es-ES" w:eastAsia="es-ES"/>
        </w:rPr>
        <w:t>Cabe explicar que esta posibilidad encontraría sustento en la aplicación del principio de eficiencia de frente a una oferta única no sometida a régimen de competencia, pues sabemos que el límite que encuentra ese principio es el respeto a los demás principios de contratación administrativa en relación con los otros oferentes (principalmente el principio de igualdad). No obstante, como en este</w:t>
      </w:r>
    </w:p>
    <w:p w:rsidR="00C859C1" w:rsidRDefault="00C859C1">
      <w:pPr>
        <w:widowControl/>
        <w:rPr>
          <w:sz w:val="24"/>
          <w:szCs w:val="24"/>
        </w:rPr>
        <w:sectPr w:rsidR="00C859C1">
          <w:pgSz w:w="12134" w:h="15840"/>
          <w:pgMar w:top="1400" w:right="1663" w:bottom="220" w:left="1543" w:header="720" w:footer="720" w:gutter="0"/>
          <w:cols w:space="720"/>
          <w:noEndnote/>
        </w:sectPr>
      </w:pPr>
    </w:p>
    <w:p w:rsidR="00C859C1" w:rsidRDefault="00C859C1">
      <w:pPr>
        <w:widowControl/>
        <w:rPr>
          <w:sz w:val="24"/>
          <w:szCs w:val="24"/>
        </w:rPr>
        <w:sectPr w:rsidR="00C859C1">
          <w:type w:val="continuous"/>
          <w:pgSz w:w="12134" w:h="15840"/>
          <w:pgMar w:top="1400" w:right="1702" w:bottom="220" w:left="7352" w:header="720" w:footer="720" w:gutter="0"/>
          <w:cols w:space="720"/>
          <w:noEndnote/>
        </w:sectPr>
      </w:pPr>
    </w:p>
    <w:p w:rsidR="00C859C1" w:rsidRDefault="00493C17">
      <w:pPr>
        <w:kinsoku w:val="0"/>
        <w:overflowPunct w:val="0"/>
        <w:autoSpaceDE/>
        <w:autoSpaceDN/>
        <w:adjustRightInd/>
        <w:spacing w:line="270" w:lineRule="exact"/>
        <w:ind w:left="576" w:right="57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caso no hay otras ofertas admitidas al concurso aparte de la del Consorcio GTE, en la etapa en que nos encontramos (la aplicación del sistema de evaluación) no se violentaría ninguno de los principios de contratación administrativa con esta acción, y más bien se protegería la satisfacción del interés general y el cumplimiento de los fines y cometidos de la Administración."</w:t>
      </w:r>
    </w:p>
    <w:p w:rsidR="00C859C1" w:rsidRDefault="00493C17">
      <w:pPr>
        <w:kinsoku w:val="0"/>
        <w:overflowPunct w:val="0"/>
        <w:autoSpaceDE/>
        <w:autoSpaceDN/>
        <w:adjustRightInd/>
        <w:spacing w:before="560" w:line="288"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En Resolución No. </w:t>
      </w:r>
      <w:r>
        <w:rPr>
          <w:rFonts w:ascii="Verdana" w:hAnsi="Verdana" w:cs="Verdana"/>
          <w:b/>
          <w:bCs/>
          <w:sz w:val="22"/>
          <w:szCs w:val="22"/>
          <w:u w:val="single"/>
          <w:lang w:val="es-ES" w:eastAsia="es-ES"/>
        </w:rPr>
        <w:t>RSL 45-99</w:t>
      </w:r>
      <w:r>
        <w:rPr>
          <w:rFonts w:ascii="Verdana" w:hAnsi="Verdana" w:cs="Verdana"/>
          <w:b/>
          <w:bCs/>
          <w:sz w:val="22"/>
          <w:szCs w:val="22"/>
          <w:lang w:val="es-ES" w:eastAsia="es-ES"/>
        </w:rPr>
        <w:t xml:space="preserve"> de las 8:00 horas del 15 de febrero de 1999 de la Contraloría General de la República indico:</w:t>
      </w:r>
    </w:p>
    <w:p w:rsidR="00C859C1" w:rsidRDefault="00493C17">
      <w:pPr>
        <w:kinsoku w:val="0"/>
        <w:overflowPunct w:val="0"/>
        <w:autoSpaceDE/>
        <w:autoSpaceDN/>
        <w:adjustRightInd/>
        <w:spacing w:before="523" w:line="303" w:lineRule="exact"/>
        <w:ind w:left="576"/>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"Oferta. Oferta Única. Sistema de Evaluación No Aplica</w:t>
      </w:r>
    </w:p>
    <w:p w:rsidR="00C859C1" w:rsidRDefault="00493C17">
      <w:pPr>
        <w:kinsoku w:val="0"/>
        <w:overflowPunct w:val="0"/>
        <w:autoSpaceDE/>
        <w:autoSpaceDN/>
        <w:adjustRightInd/>
        <w:spacing w:before="111" w:line="270" w:lineRule="exact"/>
        <w:ind w:left="576"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En el caso que nos ocupa, tenemos que al estar ilegitimada técnicamente la oferta de la firma apelante, solo mantiene el interés legítimo la oferta de la firma MAS TECHONOLOGY (la que resultó adjudicataria), pues solo se presentaron dos ofertas al concurso, por lo que en virtud de los principios de eficiencia y de conservación del acto administrativo, el hecho de que el precio no haya sido contemplado expresamente como uno de los parámetros de evaluación del concurso, o que no se haya definido expresamente cómo se conjugaría una vez analizadas las ofertas, no se constituye en un elemento que, per se, lleve a este Despacho a anular el acto adjudicatorio por esa sola razón (dada la falta de legitimación de la otra firma."</w:t>
      </w:r>
    </w:p>
    <w:p w:rsidR="00C859C1" w:rsidRDefault="00493C17">
      <w:pPr>
        <w:kinsoku w:val="0"/>
        <w:overflowPunct w:val="0"/>
        <w:autoSpaceDE/>
        <w:autoSpaceDN/>
        <w:adjustRightInd/>
        <w:spacing w:before="151" w:line="288" w:lineRule="exact"/>
        <w:ind w:right="720"/>
        <w:textAlignment w:val="baseline"/>
        <w:rPr>
          <w:rFonts w:ascii="Verdana" w:hAnsi="Verdana" w:cs="Verdana"/>
          <w:b/>
          <w:bCs/>
          <w:spacing w:val="11"/>
          <w:sz w:val="22"/>
          <w:szCs w:val="22"/>
          <w:lang w:val="es-ES" w:eastAsia="es-ES"/>
        </w:rPr>
      </w:pPr>
      <w:r>
        <w:rPr>
          <w:rFonts w:ascii="Verdana" w:hAnsi="Verdana" w:cs="Verdana"/>
          <w:b/>
          <w:bCs/>
          <w:spacing w:val="11"/>
          <w:sz w:val="22"/>
          <w:szCs w:val="22"/>
          <w:lang w:val="es-ES" w:eastAsia="es-ES"/>
        </w:rPr>
        <w:t>La Sala Constitucional de la Corte Suprema de Justicia en su Voto No. 2004-014421 de las once horas del diecisiete de diciembre del dos mil cuatro indicó:</w:t>
      </w:r>
    </w:p>
    <w:p w:rsidR="00C859C1" w:rsidRDefault="00493C17">
      <w:pPr>
        <w:kinsoku w:val="0"/>
        <w:overflowPunct w:val="0"/>
        <w:autoSpaceDE/>
        <w:autoSpaceDN/>
        <w:adjustRightInd/>
        <w:spacing w:before="702" w:after="701" w:line="270" w:lineRule="exact"/>
        <w:ind w:left="576" w:right="648"/>
        <w:jc w:val="both"/>
        <w:textAlignment w:val="baseline"/>
        <w:rPr>
          <w:rFonts w:ascii="Verdana" w:hAnsi="Verdana" w:cs="Verdana"/>
          <w:b/>
          <w:bCs/>
          <w:i/>
          <w:iCs/>
          <w:spacing w:val="-1"/>
          <w:sz w:val="22"/>
          <w:szCs w:val="22"/>
          <w:u w:val="single"/>
          <w:lang w:val="es-ES" w:eastAsia="es-ES"/>
        </w:rPr>
      </w:pPr>
      <w:r>
        <w:rPr>
          <w:rFonts w:ascii="Verdana" w:hAnsi="Verdana" w:cs="Verdana"/>
          <w:b/>
          <w:bCs/>
          <w:i/>
          <w:iCs/>
          <w:spacing w:val="-1"/>
          <w:sz w:val="22"/>
          <w:szCs w:val="22"/>
          <w:lang w:val="es-ES" w:eastAsia="es-ES"/>
        </w:rPr>
        <w:t xml:space="preserve">—"III.- EFICACIA Y EFICIENCIA EN LA CONTRATACION ADMINISTRATIVA, </w:t>
      </w:r>
      <w:r>
        <w:rPr>
          <w:rFonts w:ascii="Verdana" w:hAnsi="Verdana" w:cs="Verdana"/>
          <w:i/>
          <w:iCs/>
          <w:spacing w:val="-1"/>
          <w:sz w:val="22"/>
          <w:szCs w:val="22"/>
          <w:lang w:val="es-ES" w:eastAsia="es-ES"/>
        </w:rPr>
        <w:t xml:space="preserve">La contratación administrativa es un mecanismo con el que cuentan las administraciones públicas para adquirir de forma voluntaria y concertada una serie de bienes, obras y servicios que se requieren para la prestación de los servicios públicos y el ejercicio de sus competencias. Por su parte, las administraciones públicas son organizaciones colectivas de carácter y vocación servicial que deben atender de modo eficiente y eficaz las necesidades y requerimientos de la comunidad, con el fin de alcanzar el bienestar general. Por lo anterior, los procedimientos de contratación administrativa y todos los aspectos atinentes a la formación y perfección de los contratos administrativos están imbuidos por la celeridad y sumariedad en la debida e impostergable atención y satisfacción de las necesidades y requerimientos de la organización social. </w:t>
      </w:r>
      <w:r>
        <w:rPr>
          <w:rFonts w:ascii="Verdana" w:hAnsi="Verdana" w:cs="Verdana"/>
          <w:b/>
          <w:bCs/>
          <w:i/>
          <w:iCs/>
          <w:spacing w:val="-1"/>
          <w:sz w:val="22"/>
          <w:szCs w:val="22"/>
          <w:u w:val="single"/>
          <w:lang w:val="es-ES" w:eastAsia="es-ES"/>
        </w:rPr>
        <w:t>Sobre el particular, es menester recordar que dentro de los principios rectores de los servicios</w:t>
      </w:r>
    </w:p>
    <w:p w:rsidR="00C859C1" w:rsidRDefault="00C859C1">
      <w:pPr>
        <w:widowControl/>
        <w:rPr>
          <w:sz w:val="24"/>
          <w:szCs w:val="24"/>
        </w:rPr>
        <w:sectPr w:rsidR="00C859C1">
          <w:pgSz w:w="12134" w:h="15840"/>
          <w:pgMar w:top="1420" w:right="1610" w:bottom="200" w:left="1596" w:header="720" w:footer="720" w:gutter="0"/>
          <w:cols w:space="720"/>
          <w:noEndnote/>
        </w:sectPr>
      </w:pPr>
    </w:p>
    <w:p w:rsidR="00C859C1" w:rsidRDefault="00C859C1">
      <w:pPr>
        <w:tabs>
          <w:tab w:val="right" w:pos="3096"/>
        </w:tabs>
        <w:kinsoku w:val="0"/>
        <w:overflowPunct w:val="0"/>
        <w:autoSpaceDE/>
        <w:autoSpaceDN/>
        <w:adjustRightInd/>
        <w:spacing w:before="19" w:line="247" w:lineRule="exact"/>
        <w:textAlignment w:val="baseline"/>
        <w:rPr>
          <w:rFonts w:ascii="Verdana" w:hAnsi="Verdana" w:cs="Verdana"/>
          <w:sz w:val="17"/>
          <w:szCs w:val="17"/>
          <w:lang w:val="es-ES" w:eastAsia="es-ES"/>
        </w:rPr>
      </w:pPr>
    </w:p>
    <w:p w:rsidR="00C859C1" w:rsidRDefault="00C859C1">
      <w:pPr>
        <w:widowControl/>
        <w:rPr>
          <w:sz w:val="24"/>
          <w:szCs w:val="24"/>
        </w:rPr>
        <w:sectPr w:rsidR="00C859C1">
          <w:type w:val="continuous"/>
          <w:pgSz w:w="12134" w:h="15840"/>
          <w:pgMar w:top="1420" w:right="1676" w:bottom="200" w:left="7378" w:header="720" w:footer="720" w:gutter="0"/>
          <w:cols w:space="720"/>
          <w:noEndnote/>
        </w:sectPr>
      </w:pPr>
    </w:p>
    <w:p w:rsidR="00C859C1" w:rsidRDefault="00493C17" w:rsidP="00555FAB">
      <w:pPr>
        <w:kinsoku w:val="0"/>
        <w:overflowPunct w:val="0"/>
        <w:autoSpaceDE/>
        <w:autoSpaceDN/>
        <w:adjustRightInd/>
        <w:spacing w:before="119" w:line="269" w:lineRule="exact"/>
        <w:ind w:right="144"/>
        <w:jc w:val="both"/>
        <w:textAlignment w:val="baseline"/>
        <w:rPr>
          <w:rFonts w:ascii="Verdana" w:hAnsi="Verdana" w:cs="Verdana"/>
          <w:i/>
          <w:iCs/>
          <w:spacing w:val="3"/>
          <w:sz w:val="22"/>
          <w:szCs w:val="22"/>
          <w:lang w:val="es-ES" w:eastAsia="es-ES"/>
        </w:rPr>
      </w:pPr>
      <w:r>
        <w:rPr>
          <w:rFonts w:ascii="Verdana" w:hAnsi="Verdana" w:cs="Verdana"/>
          <w:b/>
          <w:bCs/>
          <w:i/>
          <w:iCs/>
          <w:spacing w:val="-1"/>
          <w:sz w:val="22"/>
          <w:szCs w:val="22"/>
          <w:u w:val="single"/>
          <w:lang w:val="es-ES" w:eastAsia="es-ES"/>
        </w:rPr>
        <w:lastRenderedPageBreak/>
        <w:t xml:space="preserve">públicos, en el marco de una Administración </w:t>
      </w:r>
      <w:proofErr w:type="gramStart"/>
      <w:r>
        <w:rPr>
          <w:rFonts w:ascii="Verdana" w:hAnsi="Verdana" w:cs="Verdana"/>
          <w:b/>
          <w:bCs/>
          <w:i/>
          <w:iCs/>
          <w:spacing w:val="-1"/>
          <w:sz w:val="22"/>
          <w:szCs w:val="22"/>
          <w:u w:val="single"/>
          <w:lang w:val="es-ES" w:eastAsia="es-ES"/>
        </w:rPr>
        <w:t>Pública  prestacional</w:t>
      </w:r>
      <w:proofErr w:type="gramEnd"/>
      <w:r>
        <w:rPr>
          <w:rFonts w:ascii="Verdana" w:hAnsi="Verdana" w:cs="Verdana"/>
          <w:b/>
          <w:bCs/>
          <w:i/>
          <w:iCs/>
          <w:spacing w:val="-1"/>
          <w:sz w:val="22"/>
          <w:szCs w:val="22"/>
          <w:u w:val="single"/>
          <w:lang w:val="es-ES" w:eastAsia="es-ES"/>
        </w:rPr>
        <w:t xml:space="preserve"> o de un Estado Social y Democrático de Derecho,  se encuentran, entre otros, la eficiencia, la eficacia, la  continuidad, la regularidad y la adaptación a las necesidades socio-económicas y tecnológicas,</w:t>
      </w:r>
      <w:r>
        <w:rPr>
          <w:rFonts w:ascii="Verdana" w:hAnsi="Verdana" w:cs="Verdana"/>
          <w:i/>
          <w:iCs/>
          <w:spacing w:val="-1"/>
          <w:sz w:val="22"/>
          <w:szCs w:val="22"/>
          <w:lang w:val="es-ES" w:eastAsia="es-ES"/>
        </w:rPr>
        <w:t xml:space="preserve"> con el propósito de erradicar y superar las desigualdades reales del conglomerado social. Los mecanismos de control y fiscalización diseñados por el legislador para garantizar la transparencia o publicidad, libre concurrencia e igualdad y la gestión racional de los recursos o dineros públicos -a través de la escogencia de la oferta más ventajosa para los entes públicos, desde el punto de vista financiero y técnico- en materia de contratación administrativa, deben tener por norte fundamental procurar que la misma se ciña a la ley de modo que resulte regular o sustancialmente conforme con el ordenamiento jurídico, para evitar cualquier acto de corrupción o de desviación en el manejo de los fondos públicos. Bajo esta inteligencia, todos los requisitos formales dispuestos por el ordenamiento jurídico para asegurar la regularidad o validez en los procedimientos de contratación, el acto de adjudicación y el contrato administrativo mismo, deben, también, </w:t>
      </w:r>
      <w:r>
        <w:rPr>
          <w:rFonts w:ascii="Verdana" w:hAnsi="Verdana" w:cs="Verdana"/>
          <w:b/>
          <w:bCs/>
          <w:i/>
          <w:iCs/>
          <w:spacing w:val="-1"/>
          <w:sz w:val="22"/>
          <w:szCs w:val="22"/>
          <w:u w:val="single"/>
          <w:lang w:val="es-ES" w:eastAsia="es-ES"/>
        </w:rPr>
        <w:t>procurar la pronta satisfacción del interés general a través de  la efectiva construcción de las obras públicas y la prestación  de los servicios públicos,</w:t>
      </w:r>
      <w:r>
        <w:rPr>
          <w:rFonts w:ascii="Verdana" w:hAnsi="Verdana" w:cs="Verdana"/>
          <w:i/>
          <w:iCs/>
          <w:spacing w:val="-1"/>
          <w:sz w:val="22"/>
          <w:szCs w:val="22"/>
          <w:lang w:val="es-ES" w:eastAsia="es-ES"/>
        </w:rPr>
        <w:t xml:space="preserve"> consecuentemente no pueden transformarse en instrumentos para retardar la prestación eficiente y eficaz de los servicios públicos y, sobre todo, su adaptación, a las nuevas necesidades socio-económicas y tecnológicas de la colectividad. Sobre este particular, el artículo 4°, párrafo 2°, de la Ley. de la Contratación Administrativa al enunciar el </w:t>
      </w:r>
      <w:r>
        <w:rPr>
          <w:rFonts w:ascii="Verdana" w:hAnsi="Verdana" w:cs="Verdana"/>
          <w:i/>
          <w:iCs/>
          <w:spacing w:val="-1"/>
          <w:sz w:val="22"/>
          <w:szCs w:val="22"/>
          <w:u w:val="single"/>
          <w:lang w:val="es-ES" w:eastAsia="es-ES"/>
        </w:rPr>
        <w:t>"Principio de eficiencia"</w:t>
      </w:r>
      <w:r>
        <w:rPr>
          <w:rFonts w:ascii="Arial" w:hAnsi="Arial" w:cs="Arial"/>
          <w:b/>
          <w:bCs/>
          <w:i/>
          <w:iCs/>
          <w:spacing w:val="-1"/>
          <w:sz w:val="23"/>
          <w:szCs w:val="23"/>
          <w:lang w:val="es-ES" w:eastAsia="es-ES"/>
        </w:rPr>
        <w:t xml:space="preserve"> estatuye </w:t>
      </w:r>
      <w:r>
        <w:rPr>
          <w:rFonts w:ascii="Verdana" w:hAnsi="Verdana" w:cs="Verdana"/>
          <w:i/>
          <w:iCs/>
          <w:spacing w:val="-1"/>
          <w:sz w:val="22"/>
          <w:szCs w:val="22"/>
          <w:lang w:val="es-ES" w:eastAsia="es-ES"/>
        </w:rPr>
        <w:t xml:space="preserve">que "(...) En todas las etapas de los procedimientos de contratación, prevalecerá el contenido sobre la forma. Los actos y las actuaciones de las partes se interpretarán de forma que se favorezca su conservación y se facilite adoptar la decisión final, en condiciones favorables para el interés general (...)". </w:t>
      </w:r>
      <w:proofErr w:type="spellStart"/>
      <w:r>
        <w:rPr>
          <w:rFonts w:ascii="Verdana" w:hAnsi="Verdana" w:cs="Verdana"/>
          <w:i/>
          <w:iCs/>
          <w:spacing w:val="-1"/>
          <w:sz w:val="22"/>
          <w:szCs w:val="22"/>
          <w:lang w:val="es-ES" w:eastAsia="es-ES"/>
        </w:rPr>
        <w:t>Síguese</w:t>
      </w:r>
      <w:proofErr w:type="spellEnd"/>
      <w:r>
        <w:rPr>
          <w:rFonts w:ascii="Verdana" w:hAnsi="Verdana" w:cs="Verdana"/>
          <w:i/>
          <w:iCs/>
          <w:spacing w:val="-1"/>
          <w:sz w:val="22"/>
          <w:szCs w:val="22"/>
          <w:lang w:val="es-ES" w:eastAsia="es-ES"/>
        </w:rPr>
        <w:t xml:space="preserve"> de lo anterior que las formas propias de los procedimientos de la contratación administrativa así como los recaudos de carácter adjetivo que establece el ordenamiento jurídico para la validez y eficacia de un contrato administrativo deben interpretarse de forma flexible en aras del fin de todo contrato administrativo, sin descuidar, claro está, la sanidad y corrección en la forma en que son</w:t>
      </w:r>
      <w:r w:rsidR="00555FAB">
        <w:rPr>
          <w:rFonts w:ascii="Verdana" w:hAnsi="Verdana" w:cs="Verdana"/>
          <w:i/>
          <w:iCs/>
          <w:spacing w:val="-1"/>
          <w:sz w:val="22"/>
          <w:szCs w:val="22"/>
          <w:lang w:val="es-ES" w:eastAsia="es-ES"/>
        </w:rPr>
        <w:t xml:space="preserve"> </w:t>
      </w:r>
      <w:r>
        <w:rPr>
          <w:rFonts w:ascii="Verdana" w:hAnsi="Verdana" w:cs="Verdana"/>
          <w:i/>
          <w:iCs/>
          <w:spacing w:val="3"/>
          <w:sz w:val="22"/>
          <w:szCs w:val="22"/>
          <w:lang w:val="es-ES" w:eastAsia="es-ES"/>
        </w:rPr>
        <w:t>invertidos los fondos públicos. Desde esta perspectiva,</w:t>
      </w:r>
      <w:r w:rsidR="00555FAB">
        <w:rPr>
          <w:rFonts w:ascii="Verdana" w:hAnsi="Verdana" w:cs="Verdana"/>
          <w:i/>
          <w:iCs/>
          <w:spacing w:val="3"/>
          <w:sz w:val="22"/>
          <w:szCs w:val="22"/>
          <w:lang w:val="es-ES" w:eastAsia="es-ES"/>
        </w:rPr>
        <w:t xml:space="preserve"> </w:t>
      </w:r>
      <w:r>
        <w:rPr>
          <w:rFonts w:ascii="Verdana" w:hAnsi="Verdana" w:cs="Verdana"/>
          <w:i/>
          <w:iCs/>
          <w:spacing w:val="3"/>
          <w:sz w:val="22"/>
          <w:szCs w:val="22"/>
          <w:lang w:val="es-ES" w:eastAsia="es-ES"/>
        </w:rPr>
        <w:t>los</w:t>
      </w:r>
      <w:r w:rsidR="00555FAB">
        <w:rPr>
          <w:rFonts w:ascii="Verdana" w:hAnsi="Verdana" w:cs="Verdana"/>
          <w:i/>
          <w:iCs/>
          <w:spacing w:val="3"/>
          <w:sz w:val="22"/>
          <w:szCs w:val="22"/>
          <w:lang w:val="es-ES" w:eastAsia="es-ES"/>
        </w:rPr>
        <w:t xml:space="preserve"> </w:t>
      </w:r>
      <w:r>
        <w:rPr>
          <w:rFonts w:ascii="Verdana" w:hAnsi="Verdana" w:cs="Verdana"/>
          <w:i/>
          <w:iCs/>
          <w:spacing w:val="3"/>
          <w:sz w:val="22"/>
          <w:szCs w:val="22"/>
          <w:lang w:val="es-ES" w:eastAsia="es-ES"/>
        </w:rPr>
        <w:t xml:space="preserve">procedimientos administrativos de contratación son la sombra (forma) que debe seguir, irremisiblemente, al cuerpo (sustancia) que son los fines y propósitos del contrato administrativo de satisfacer el interés general y, desde luego, procurar por el uso racional, debido y correcto de los fondos públicos. Por último, debe recordarse que </w:t>
      </w:r>
      <w:r>
        <w:rPr>
          <w:rFonts w:ascii="Verdana" w:hAnsi="Verdana" w:cs="Verdana"/>
          <w:i/>
          <w:iCs/>
          <w:spacing w:val="3"/>
          <w:sz w:val="22"/>
          <w:szCs w:val="22"/>
          <w:u w:val="single"/>
          <w:lang w:val="es-ES" w:eastAsia="es-ES"/>
        </w:rPr>
        <w:t>los principios de la eficiencia y la eficacia</w:t>
      </w:r>
      <w:r>
        <w:rPr>
          <w:rFonts w:ascii="Verdana" w:hAnsi="Verdana" w:cs="Verdana"/>
          <w:i/>
          <w:iCs/>
          <w:spacing w:val="3"/>
          <w:sz w:val="22"/>
          <w:szCs w:val="22"/>
          <w:lang w:val="es-ES" w:eastAsia="es-ES"/>
        </w:rPr>
        <w:t xml:space="preserve"> en cuanto informan la organización y gestión administrativa tienen fuerte asidero constitucional (artículos -todos de la Constitución Política-140, inciso 8, en cuanto le impone al Poder Ejecutivo el deber de</w:t>
      </w:r>
    </w:p>
    <w:p w:rsidR="00C859C1" w:rsidRDefault="00C859C1">
      <w:pPr>
        <w:widowControl/>
        <w:rPr>
          <w:sz w:val="24"/>
          <w:szCs w:val="24"/>
        </w:rPr>
        <w:sectPr w:rsidR="00C859C1">
          <w:pgSz w:w="12134" w:h="15840"/>
          <w:pgMar w:top="1400" w:right="2083" w:bottom="210" w:left="2131" w:header="720" w:footer="720" w:gutter="0"/>
          <w:cols w:space="720"/>
          <w:noEndnote/>
        </w:sectPr>
      </w:pPr>
    </w:p>
    <w:p w:rsidR="00C859C1" w:rsidRDefault="00C859C1">
      <w:pPr>
        <w:widowControl/>
        <w:rPr>
          <w:sz w:val="24"/>
          <w:szCs w:val="24"/>
        </w:rPr>
        <w:sectPr w:rsidR="00C859C1">
          <w:type w:val="continuous"/>
          <w:pgSz w:w="12134" w:h="15840"/>
          <w:pgMar w:top="1400" w:right="1690" w:bottom="210" w:left="7364" w:header="720" w:footer="720" w:gutter="0"/>
          <w:cols w:space="720"/>
          <w:noEndnote/>
        </w:sectPr>
      </w:pPr>
    </w:p>
    <w:p w:rsidR="00C859C1" w:rsidRDefault="00493C17">
      <w:pPr>
        <w:kinsoku w:val="0"/>
        <w:overflowPunct w:val="0"/>
        <w:autoSpaceDE/>
        <w:autoSpaceDN/>
        <w:adjustRightInd/>
        <w:spacing w:before="10" w:line="270" w:lineRule="exact"/>
        <w:ind w:left="576"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 xml:space="preserve">"Vigilar el </w:t>
      </w:r>
      <w:r>
        <w:rPr>
          <w:rFonts w:ascii="Verdana" w:hAnsi="Verdana" w:cs="Verdana"/>
          <w:b/>
          <w:bCs/>
          <w:i/>
          <w:iCs/>
          <w:sz w:val="22"/>
          <w:szCs w:val="22"/>
          <w:lang w:val="es-ES" w:eastAsia="es-ES"/>
        </w:rPr>
        <w:t xml:space="preserve">buen funcionamiento </w:t>
      </w:r>
      <w:r>
        <w:rPr>
          <w:rFonts w:ascii="Verdana" w:hAnsi="Verdana" w:cs="Verdana"/>
          <w:i/>
          <w:iCs/>
          <w:sz w:val="22"/>
          <w:szCs w:val="22"/>
          <w:lang w:val="es-ES" w:eastAsia="es-ES"/>
        </w:rPr>
        <w:t>de los servicios y dependencias administrativas", el 139, inciso 4, en la medida que incorpora el concepto de "buena marcha del Gobierno" y el 191 al recoger el principio de "eficiencia de la administración").</w:t>
      </w:r>
    </w:p>
    <w:p w:rsidR="00C859C1" w:rsidRDefault="00493C17">
      <w:pPr>
        <w:kinsoku w:val="0"/>
        <w:overflowPunct w:val="0"/>
        <w:autoSpaceDE/>
        <w:autoSpaceDN/>
        <w:adjustRightInd/>
        <w:spacing w:before="322" w:line="270" w:lineRule="exact"/>
        <w:ind w:left="576" w:right="648"/>
        <w:jc w:val="both"/>
        <w:textAlignment w:val="baseline"/>
        <w:rPr>
          <w:rFonts w:ascii="Verdana" w:hAnsi="Verdana" w:cs="Verdana"/>
          <w:i/>
          <w:iCs/>
          <w:sz w:val="22"/>
          <w:szCs w:val="22"/>
          <w:lang w:val="es-ES" w:eastAsia="es-ES"/>
        </w:rPr>
      </w:pPr>
      <w:r>
        <w:rPr>
          <w:rFonts w:ascii="Verdana" w:hAnsi="Verdana" w:cs="Verdana"/>
          <w:b/>
          <w:bCs/>
          <w:i/>
          <w:iCs/>
          <w:sz w:val="22"/>
          <w:szCs w:val="22"/>
          <w:lang w:val="es-ES" w:eastAsia="es-ES"/>
        </w:rPr>
        <w:t xml:space="preserve">IV.- PRINCIPIO DE INTERDICCION DE LA ARBITRARIEDAD, RAZONABILIDAD Y PROPORCIONALIDAD DE LOS ACTOS ADMINISTRATIVOS. </w:t>
      </w:r>
      <w:r>
        <w:rPr>
          <w:rFonts w:ascii="Verdana" w:hAnsi="Verdana" w:cs="Verdana"/>
          <w:i/>
          <w:iCs/>
          <w:sz w:val="22"/>
          <w:szCs w:val="22"/>
          <w:lang w:val="es-ES" w:eastAsia="es-ES"/>
        </w:rPr>
        <w:t>La regulación de los elementos constitutivos de carácter sustancial objetivos (motivo, contenido y fin) o subjetivos (competencia, legitimación e investidura) y formales (procedimiento y motivación) del acto administrativo, tienen por objeto racionalizar la func</w:t>
      </w:r>
      <w:r w:rsidR="00555FAB">
        <w:rPr>
          <w:rFonts w:ascii="Verdana" w:hAnsi="Verdana" w:cs="Verdana"/>
          <w:i/>
          <w:iCs/>
          <w:sz w:val="22"/>
          <w:szCs w:val="22"/>
          <w:lang w:val="es-ES" w:eastAsia="es-ES"/>
        </w:rPr>
        <w:t>i</w:t>
      </w:r>
      <w:r>
        <w:rPr>
          <w:rFonts w:ascii="Verdana" w:hAnsi="Verdana" w:cs="Verdana"/>
          <w:i/>
          <w:iCs/>
          <w:sz w:val="22"/>
          <w:szCs w:val="22"/>
          <w:lang w:val="es-ES" w:eastAsia="es-ES"/>
        </w:rPr>
        <w:t xml:space="preserve">ón o conducta administrativa y, sobre todo, dotarla de </w:t>
      </w:r>
      <w:proofErr w:type="spellStart"/>
      <w:r>
        <w:rPr>
          <w:rFonts w:ascii="Verdana" w:hAnsi="Verdana" w:cs="Verdana"/>
          <w:i/>
          <w:iCs/>
          <w:sz w:val="22"/>
          <w:szCs w:val="22"/>
          <w:lang w:val="es-ES" w:eastAsia="es-ES"/>
        </w:rPr>
        <w:t>logicidad</w:t>
      </w:r>
      <w:proofErr w:type="spellEnd"/>
      <w:r>
        <w:rPr>
          <w:rFonts w:ascii="Verdana" w:hAnsi="Verdana" w:cs="Verdana"/>
          <w:i/>
          <w:iCs/>
          <w:sz w:val="22"/>
          <w:szCs w:val="22"/>
          <w:lang w:val="es-ES" w:eastAsia="es-ES"/>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"Lis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p>
    <w:p w:rsidR="00C859C1" w:rsidRDefault="00493C17">
      <w:pPr>
        <w:kinsoku w:val="0"/>
        <w:overflowPunct w:val="0"/>
        <w:autoSpaceDE/>
        <w:autoSpaceDN/>
        <w:adjustRightInd/>
        <w:spacing w:before="306" w:line="293" w:lineRule="exact"/>
        <w:jc w:val="both"/>
        <w:textAlignment w:val="baseline"/>
        <w:rPr>
          <w:rFonts w:ascii="Verdana" w:hAnsi="Verdana" w:cs="Verdana"/>
          <w:spacing w:val="13"/>
          <w:sz w:val="22"/>
          <w:szCs w:val="22"/>
          <w:lang w:val="es-ES" w:eastAsia="es-ES"/>
        </w:rPr>
      </w:pPr>
      <w:r>
        <w:rPr>
          <w:rFonts w:ascii="Verdana" w:hAnsi="Verdana" w:cs="Verdana"/>
          <w:spacing w:val="13"/>
          <w:sz w:val="22"/>
          <w:szCs w:val="22"/>
          <w:lang w:val="es-ES" w:eastAsia="es-ES"/>
        </w:rPr>
        <w:t>Por lo antes indicado y en resguardo de los principios de Eficiencia, Razonabilidad, Proporcionalidad, Lógica, Justicia e Interdicción de la Arbitrariedad observables en la materia y siendo que el recurrente cumplía con todos los requisitos para continuar en el procedimiento de precalificación y en la etapa en la que se encontraba el procedimiento, se podía perfectamente ser más flexible por parte de la Administración,</w:t>
      </w:r>
    </w:p>
    <w:p w:rsidR="00C859C1" w:rsidRDefault="00C859C1">
      <w:pPr>
        <w:widowControl/>
        <w:rPr>
          <w:sz w:val="24"/>
          <w:szCs w:val="24"/>
        </w:rPr>
        <w:sectPr w:rsidR="00C859C1">
          <w:pgSz w:w="12134" w:h="15840"/>
          <w:pgMar w:top="1420" w:right="1651" w:bottom="220" w:left="1555" w:header="720" w:footer="720" w:gutter="0"/>
          <w:cols w:space="720"/>
          <w:noEndnote/>
        </w:sectPr>
      </w:pPr>
    </w:p>
    <w:p w:rsidR="00C859C1" w:rsidRDefault="00493C17">
      <w:pPr>
        <w:kinsoku w:val="0"/>
        <w:overflowPunct w:val="0"/>
        <w:autoSpaceDE/>
        <w:autoSpaceDN/>
        <w:adjustRightInd/>
        <w:spacing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en resguardo del espíritu mismo de la Ley y del interés público, considera este Tribunal que es pertinente, proceder a declarar con lugar el presente recurso.</w:t>
      </w:r>
    </w:p>
    <w:p w:rsidR="00C859C1" w:rsidRDefault="00493C17">
      <w:pPr>
        <w:kinsoku w:val="0"/>
        <w:overflowPunct w:val="0"/>
        <w:autoSpaceDE/>
        <w:autoSpaceDN/>
        <w:adjustRightInd/>
        <w:spacing w:before="311" w:line="292"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C859C1" w:rsidRDefault="00493C17">
      <w:pPr>
        <w:numPr>
          <w:ilvl w:val="0"/>
          <w:numId w:val="9"/>
        </w:numPr>
        <w:kinsoku w:val="0"/>
        <w:overflowPunct w:val="0"/>
        <w:autoSpaceDE/>
        <w:autoSpaceDN/>
        <w:adjustRightInd/>
        <w:spacing w:before="301" w:line="296" w:lineRule="exact"/>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Se declara con lugar, el Recurso de Apelación y la Nulidad Concomitante, interpuesto por el señor </w:t>
      </w:r>
      <w:r>
        <w:rPr>
          <w:rFonts w:ascii="Verdana" w:hAnsi="Verdana" w:cs="Verdana"/>
          <w:b/>
          <w:bCs/>
          <w:sz w:val="24"/>
          <w:szCs w:val="24"/>
          <w:lang w:val="es-ES" w:eastAsia="es-ES"/>
        </w:rPr>
        <w:t>R</w:t>
      </w:r>
      <w:r w:rsidR="00555FAB">
        <w:rPr>
          <w:rFonts w:ascii="Verdana" w:hAnsi="Verdana" w:cs="Verdana"/>
          <w:b/>
          <w:bCs/>
          <w:sz w:val="24"/>
          <w:szCs w:val="24"/>
          <w:lang w:val="es-ES" w:eastAsia="es-ES"/>
        </w:rPr>
        <w:t>.J.C.R.</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número </w:t>
      </w:r>
      <w:r w:rsidR="00555FAB">
        <w:rPr>
          <w:rFonts w:ascii="Verdana" w:hAnsi="Verdana" w:cs="Verdana"/>
          <w:sz w:val="24"/>
          <w:szCs w:val="24"/>
          <w:lang w:val="es-ES" w:eastAsia="es-ES"/>
        </w:rPr>
        <w:t>…</w:t>
      </w:r>
      <w:r>
        <w:rPr>
          <w:rFonts w:ascii="Verdana" w:hAnsi="Verdana" w:cs="Verdana"/>
          <w:sz w:val="24"/>
          <w:szCs w:val="24"/>
          <w:lang w:val="es-ES" w:eastAsia="es-ES"/>
        </w:rPr>
        <w:t xml:space="preserve">, en su condición de permisionario de la ruta descrita como urbano de Orotina, contra el </w:t>
      </w:r>
      <w:r>
        <w:rPr>
          <w:rFonts w:ascii="Verdana" w:hAnsi="Verdana" w:cs="Verdana"/>
          <w:b/>
          <w:bCs/>
          <w:sz w:val="24"/>
          <w:szCs w:val="24"/>
          <w:lang w:val="es-ES" w:eastAsia="es-ES"/>
        </w:rPr>
        <w:t>Artículo 7.2.14 de la Sesión Ordinaria 08-2014, celebrada el 5 de febrero de 2014, por la Junta Directiva del Consejo de Transporte Público.</w:t>
      </w:r>
    </w:p>
    <w:p w:rsidR="00C859C1" w:rsidRDefault="00493C17">
      <w:pPr>
        <w:numPr>
          <w:ilvl w:val="0"/>
          <w:numId w:val="9"/>
        </w:numPr>
        <w:kinsoku w:val="0"/>
        <w:overflowPunct w:val="0"/>
        <w:autoSpaceDE/>
        <w:autoSpaceDN/>
        <w:adjustRightInd/>
        <w:spacing w:before="303" w:after="686" w:line="291" w:lineRule="exact"/>
        <w:jc w:val="both"/>
        <w:textAlignment w:val="baseline"/>
        <w:rPr>
          <w:rFonts w:ascii="Verdana" w:hAnsi="Verdana" w:cs="Verdana"/>
          <w:sz w:val="24"/>
          <w:szCs w:val="24"/>
          <w:lang w:eastAsia="en-US"/>
        </w:rPr>
      </w:pPr>
      <w:r>
        <w:rPr>
          <w:rFonts w:ascii="Verdana" w:hAnsi="Verdana" w:cs="Verdana"/>
          <w:sz w:val="24"/>
          <w:szCs w:val="24"/>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 xml:space="preserve">tiene por agotada la vía administrativa. </w:t>
      </w:r>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p>
    <w:p w:rsidR="00C859C1" w:rsidRDefault="00C859C1">
      <w:pPr>
        <w:widowControl/>
        <w:rPr>
          <w:sz w:val="24"/>
          <w:szCs w:val="24"/>
        </w:rPr>
      </w:pPr>
    </w:p>
    <w:p w:rsidR="00555FAB" w:rsidRDefault="00555FAB">
      <w:pPr>
        <w:widowControl/>
        <w:rPr>
          <w:sz w:val="24"/>
          <w:szCs w:val="24"/>
        </w:rPr>
      </w:pPr>
    </w:p>
    <w:p w:rsidR="00236B1C" w:rsidRPr="00A64296" w:rsidRDefault="00236B1C" w:rsidP="00236B1C">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236B1C" w:rsidRPr="00236B1C" w:rsidRDefault="00236B1C" w:rsidP="00236B1C">
      <w:pPr>
        <w:pStyle w:val="Style1"/>
        <w:kinsoku w:val="0"/>
        <w:overflowPunct w:val="0"/>
        <w:autoSpaceDE/>
        <w:autoSpaceDN/>
        <w:adjustRightInd/>
        <w:spacing w:before="204" w:after="301" w:line="288" w:lineRule="exact"/>
        <w:jc w:val="center"/>
        <w:textAlignment w:val="baseline"/>
        <w:rPr>
          <w:rStyle w:val="CharacterStyle1"/>
          <w:iCs/>
          <w:spacing w:val="5"/>
          <w:sz w:val="28"/>
        </w:rPr>
      </w:pPr>
      <w:r w:rsidRPr="00236B1C">
        <w:rPr>
          <w:rStyle w:val="CharacterStyle1"/>
          <w:iCs/>
          <w:spacing w:val="5"/>
          <w:sz w:val="28"/>
        </w:rPr>
        <w:t xml:space="preserve">Presidente </w:t>
      </w:r>
    </w:p>
    <w:p w:rsidR="00236B1C" w:rsidRPr="00236B1C" w:rsidRDefault="00236B1C" w:rsidP="00236B1C">
      <w:pPr>
        <w:tabs>
          <w:tab w:val="left" w:pos="720"/>
        </w:tabs>
        <w:kinsoku w:val="0"/>
        <w:overflowPunct w:val="0"/>
        <w:autoSpaceDE/>
        <w:autoSpaceDN/>
        <w:adjustRightInd/>
        <w:spacing w:before="326" w:line="323" w:lineRule="exact"/>
        <w:ind w:right="360"/>
        <w:jc w:val="center"/>
        <w:textAlignment w:val="baseline"/>
        <w:rPr>
          <w:sz w:val="36"/>
          <w:szCs w:val="24"/>
        </w:rPr>
      </w:pPr>
      <w:r w:rsidRPr="00236B1C">
        <w:rPr>
          <w:rStyle w:val="CharacterStyle1"/>
          <w:rFonts w:ascii="Verdana" w:hAnsi="Verdana"/>
          <w:i/>
          <w:iCs/>
          <w:spacing w:val="5"/>
          <w:sz w:val="22"/>
        </w:rPr>
        <w:t xml:space="preserve"> </w:t>
      </w:r>
      <w:proofErr w:type="spellStart"/>
      <w:r w:rsidRPr="00236B1C">
        <w:rPr>
          <w:rStyle w:val="CharacterStyle1"/>
          <w:iCs/>
          <w:spacing w:val="5"/>
          <w:sz w:val="28"/>
        </w:rPr>
        <w:t>Licda</w:t>
      </w:r>
      <w:proofErr w:type="spellEnd"/>
      <w:r w:rsidRPr="00236B1C">
        <w:rPr>
          <w:rStyle w:val="CharacterStyle1"/>
          <w:iCs/>
          <w:spacing w:val="5"/>
          <w:sz w:val="28"/>
        </w:rPr>
        <w:t xml:space="preserve">. </w:t>
      </w:r>
      <w:proofErr w:type="spellStart"/>
      <w:r w:rsidRPr="00236B1C">
        <w:rPr>
          <w:rStyle w:val="CharacterStyle1"/>
          <w:iCs/>
          <w:spacing w:val="5"/>
          <w:sz w:val="28"/>
        </w:rPr>
        <w:t>M</w:t>
      </w:r>
      <w:r>
        <w:rPr>
          <w:rStyle w:val="CharacterStyle1"/>
          <w:iCs/>
          <w:spacing w:val="5"/>
          <w:sz w:val="28"/>
        </w:rPr>
        <w:t>|</w:t>
      </w:r>
      <w:r w:rsidRPr="00236B1C">
        <w:rPr>
          <w:rStyle w:val="CharacterStyle1"/>
          <w:iCs/>
          <w:spacing w:val="5"/>
          <w:sz w:val="28"/>
        </w:rPr>
        <w:t>arta</w:t>
      </w:r>
      <w:proofErr w:type="spellEnd"/>
      <w:r w:rsidRPr="00236B1C">
        <w:rPr>
          <w:rStyle w:val="CharacterStyle1"/>
          <w:iCs/>
          <w:spacing w:val="5"/>
          <w:sz w:val="28"/>
        </w:rPr>
        <w:t xml:space="preserve"> Luz Pérez Peláez               </w:t>
      </w:r>
      <w:proofErr w:type="spellStart"/>
      <w:r w:rsidRPr="00236B1C">
        <w:rPr>
          <w:rStyle w:val="CharacterStyle1"/>
          <w:iCs/>
          <w:spacing w:val="5"/>
          <w:sz w:val="28"/>
        </w:rPr>
        <w:t>Lic</w:t>
      </w:r>
      <w:proofErr w:type="spellEnd"/>
      <w:r w:rsidRPr="00236B1C">
        <w:rPr>
          <w:rStyle w:val="CharacterStyle1"/>
          <w:iCs/>
          <w:spacing w:val="5"/>
          <w:sz w:val="28"/>
        </w:rPr>
        <w:t xml:space="preserve">. Mario Quesada Aguirre </w:t>
      </w:r>
      <w:r w:rsidRPr="00236B1C">
        <w:rPr>
          <w:rStyle w:val="CharacterStyle1"/>
          <w:rFonts w:ascii="Verdana" w:hAnsi="Verdana"/>
          <w:i/>
          <w:iCs/>
          <w:spacing w:val="5"/>
          <w:sz w:val="22"/>
        </w:rPr>
        <w:t xml:space="preserve">             </w:t>
      </w:r>
      <w:proofErr w:type="spellStart"/>
      <w:r w:rsidRPr="00236B1C">
        <w:rPr>
          <w:rStyle w:val="CharacterStyle1"/>
          <w:iCs/>
          <w:spacing w:val="5"/>
          <w:sz w:val="28"/>
        </w:rPr>
        <w:t>Jueza</w:t>
      </w:r>
      <w:proofErr w:type="spellEnd"/>
      <w:r w:rsidRPr="00236B1C">
        <w:rPr>
          <w:rStyle w:val="CharacterStyle1"/>
          <w:iCs/>
          <w:spacing w:val="5"/>
          <w:sz w:val="28"/>
        </w:rPr>
        <w:t xml:space="preserve"> </w:t>
      </w:r>
      <w:r w:rsidRPr="00236B1C">
        <w:rPr>
          <w:rStyle w:val="CharacterStyle1"/>
          <w:iCs/>
          <w:spacing w:val="5"/>
          <w:sz w:val="28"/>
        </w:rPr>
        <w:tab/>
        <w:t xml:space="preserve"> </w:t>
      </w:r>
      <w:r w:rsidRPr="00236B1C">
        <w:rPr>
          <w:rStyle w:val="CharacterStyle1"/>
          <w:iCs/>
          <w:spacing w:val="5"/>
          <w:sz w:val="28"/>
        </w:rPr>
        <w:tab/>
      </w:r>
      <w:r w:rsidRPr="00236B1C">
        <w:rPr>
          <w:rStyle w:val="CharacterStyle1"/>
          <w:iCs/>
          <w:spacing w:val="5"/>
          <w:sz w:val="28"/>
        </w:rPr>
        <w:tab/>
      </w:r>
      <w:r w:rsidRPr="00236B1C">
        <w:rPr>
          <w:rStyle w:val="CharacterStyle1"/>
          <w:iCs/>
          <w:spacing w:val="5"/>
          <w:sz w:val="28"/>
        </w:rPr>
        <w:tab/>
      </w:r>
      <w:r w:rsidRPr="00236B1C">
        <w:rPr>
          <w:rStyle w:val="CharacterStyle1"/>
          <w:iCs/>
          <w:spacing w:val="5"/>
          <w:sz w:val="28"/>
        </w:rPr>
        <w:tab/>
      </w:r>
      <w:r w:rsidRPr="00236B1C">
        <w:rPr>
          <w:rStyle w:val="CharacterStyle1"/>
          <w:iCs/>
          <w:spacing w:val="5"/>
          <w:sz w:val="28"/>
        </w:rPr>
        <w:tab/>
        <w:t xml:space="preserve">   </w:t>
      </w:r>
      <w:proofErr w:type="spellStart"/>
      <w:r w:rsidRPr="00236B1C">
        <w:rPr>
          <w:rStyle w:val="CharacterStyle1"/>
          <w:iCs/>
          <w:spacing w:val="5"/>
          <w:sz w:val="28"/>
        </w:rPr>
        <w:t>Juez</w:t>
      </w:r>
      <w:proofErr w:type="spellEnd"/>
    </w:p>
    <w:p w:rsidR="00555FAB" w:rsidRDefault="00555FAB">
      <w:pPr>
        <w:widowControl/>
        <w:rPr>
          <w:sz w:val="24"/>
          <w:szCs w:val="24"/>
        </w:rPr>
        <w:sectPr w:rsidR="00555FAB">
          <w:pgSz w:w="12134" w:h="15840"/>
          <w:pgMar w:top="1420" w:right="1591" w:bottom="220" w:left="1615" w:header="720" w:footer="720" w:gutter="0"/>
          <w:cols w:space="720"/>
          <w:noEndnote/>
        </w:sectPr>
      </w:pPr>
    </w:p>
    <w:p w:rsidR="00493C17" w:rsidRDefault="00493C17" w:rsidP="00555FAB">
      <w:pPr>
        <w:tabs>
          <w:tab w:val="right" w:pos="3096"/>
        </w:tabs>
        <w:kinsoku w:val="0"/>
        <w:overflowPunct w:val="0"/>
        <w:autoSpaceDE/>
        <w:autoSpaceDN/>
        <w:adjustRightInd/>
        <w:spacing w:line="232" w:lineRule="exact"/>
        <w:textAlignment w:val="baseline"/>
        <w:rPr>
          <w:rFonts w:ascii="Verdana" w:hAnsi="Verdana" w:cs="Verdana"/>
          <w:sz w:val="19"/>
          <w:szCs w:val="19"/>
          <w:lang w:val="es-ES" w:eastAsia="es-ES"/>
        </w:rPr>
      </w:pPr>
    </w:p>
    <w:sectPr w:rsidR="00493C17">
      <w:type w:val="continuous"/>
      <w:pgSz w:w="12134" w:h="15840"/>
      <w:pgMar w:top="1420" w:right="1633" w:bottom="220" w:left="74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1875"/>
    <w:multiLevelType w:val="singleLevel"/>
    <w:tmpl w:val="5D82DED0"/>
    <w:lvl w:ilvl="0">
      <w:start w:val="1"/>
      <w:numFmt w:val="upperRoman"/>
      <w:lvlText w:val="%1.-"/>
      <w:lvlJc w:val="left"/>
      <w:pPr>
        <w:tabs>
          <w:tab w:val="num" w:pos="576"/>
        </w:tabs>
      </w:pPr>
      <w:rPr>
        <w:rFonts w:ascii="Verdana" w:hAnsi="Verdana" w:cs="Verdana"/>
        <w:b/>
        <w:snapToGrid/>
        <w:sz w:val="24"/>
        <w:szCs w:val="24"/>
      </w:rPr>
    </w:lvl>
  </w:abstractNum>
  <w:abstractNum w:abstractNumId="1" w15:restartNumberingAfterBreak="0">
    <w:nsid w:val="02F048F6"/>
    <w:multiLevelType w:val="singleLevel"/>
    <w:tmpl w:val="156E8929"/>
    <w:lvl w:ilvl="0">
      <w:start w:val="1"/>
      <w:numFmt w:val="decimal"/>
      <w:lvlText w:val="%1.-"/>
      <w:lvlJc w:val="left"/>
      <w:pPr>
        <w:tabs>
          <w:tab w:val="num" w:pos="504"/>
        </w:tabs>
        <w:ind w:left="72"/>
      </w:pPr>
      <w:rPr>
        <w:rFonts w:ascii="Verdana" w:hAnsi="Verdana" w:cs="Verdana"/>
        <w:b/>
        <w:bCs/>
        <w:snapToGrid/>
        <w:spacing w:val="-6"/>
        <w:sz w:val="24"/>
        <w:szCs w:val="24"/>
      </w:rPr>
    </w:lvl>
  </w:abstractNum>
  <w:abstractNum w:abstractNumId="2" w15:restartNumberingAfterBreak="0">
    <w:nsid w:val="04730AE4"/>
    <w:multiLevelType w:val="singleLevel"/>
    <w:tmpl w:val="75A6D764"/>
    <w:lvl w:ilvl="0">
      <w:start w:val="1"/>
      <w:numFmt w:val="upperLetter"/>
      <w:lvlText w:val="%1).-"/>
      <w:lvlJc w:val="left"/>
      <w:pPr>
        <w:tabs>
          <w:tab w:val="num" w:pos="720"/>
        </w:tabs>
        <w:ind w:left="72"/>
      </w:pPr>
      <w:rPr>
        <w:rFonts w:ascii="Verdana" w:hAnsi="Verdana" w:cs="Verdana"/>
        <w:snapToGrid/>
        <w:sz w:val="24"/>
        <w:szCs w:val="24"/>
      </w:rPr>
    </w:lvl>
  </w:abstractNum>
  <w:abstractNum w:abstractNumId="3" w15:restartNumberingAfterBreak="0">
    <w:nsid w:val="0601A8C3"/>
    <w:multiLevelType w:val="singleLevel"/>
    <w:tmpl w:val="E376A88E"/>
    <w:lvl w:ilvl="0">
      <w:start w:val="3"/>
      <w:numFmt w:val="upperLetter"/>
      <w:lvlText w:val="%1).-"/>
      <w:lvlJc w:val="left"/>
      <w:pPr>
        <w:tabs>
          <w:tab w:val="num" w:pos="792"/>
        </w:tabs>
        <w:ind w:left="72"/>
      </w:pPr>
      <w:rPr>
        <w:rFonts w:ascii="Tahoma" w:hAnsi="Tahoma" w:cs="Tahoma"/>
        <w:b/>
        <w:snapToGrid/>
        <w:spacing w:val="10"/>
        <w:sz w:val="25"/>
        <w:szCs w:val="25"/>
      </w:rPr>
    </w:lvl>
  </w:abstractNum>
  <w:abstractNum w:abstractNumId="4" w15:restartNumberingAfterBreak="0">
    <w:nsid w:val="063C4960"/>
    <w:multiLevelType w:val="singleLevel"/>
    <w:tmpl w:val="06AA3EAA"/>
    <w:lvl w:ilvl="0">
      <w:start w:val="1"/>
      <w:numFmt w:val="lowerLetter"/>
      <w:lvlText w:val="%1)-"/>
      <w:lvlJc w:val="left"/>
      <w:pPr>
        <w:tabs>
          <w:tab w:val="num" w:pos="504"/>
        </w:tabs>
      </w:pPr>
      <w:rPr>
        <w:rFonts w:ascii="Verdana" w:hAnsi="Verdana" w:cs="Verdana"/>
        <w:snapToGrid/>
        <w:sz w:val="24"/>
        <w:szCs w:val="24"/>
      </w:rPr>
    </w:lvl>
  </w:abstractNum>
  <w:abstractNum w:abstractNumId="5" w15:restartNumberingAfterBreak="0">
    <w:nsid w:val="071C6186"/>
    <w:multiLevelType w:val="singleLevel"/>
    <w:tmpl w:val="62EE6AF1"/>
    <w:lvl w:ilvl="0">
      <w:start w:val="4"/>
      <w:numFmt w:val="decimal"/>
      <w:lvlText w:val="%1.-"/>
      <w:lvlJc w:val="left"/>
      <w:pPr>
        <w:tabs>
          <w:tab w:val="num" w:pos="792"/>
        </w:tabs>
        <w:ind w:left="72"/>
      </w:pPr>
      <w:rPr>
        <w:rFonts w:ascii="Tahoma" w:hAnsi="Tahoma" w:cs="Tahoma"/>
        <w:b/>
        <w:bCs/>
        <w:snapToGrid/>
        <w:sz w:val="25"/>
        <w:szCs w:val="25"/>
      </w:rPr>
    </w:lvl>
  </w:abstractNum>
  <w:abstractNum w:abstractNumId="6" w15:restartNumberingAfterBreak="0">
    <w:nsid w:val="0760659B"/>
    <w:multiLevelType w:val="singleLevel"/>
    <w:tmpl w:val="39249AA5"/>
    <w:lvl w:ilvl="0">
      <w:numFmt w:val="bullet"/>
      <w:lvlText w:val="·"/>
      <w:lvlJc w:val="left"/>
      <w:pPr>
        <w:tabs>
          <w:tab w:val="num" w:pos="2448"/>
        </w:tabs>
        <w:ind w:left="1440"/>
      </w:pPr>
      <w:rPr>
        <w:rFonts w:ascii="Symbol" w:hAnsi="Symbol" w:cs="Symbol"/>
        <w:snapToGrid/>
        <w:spacing w:val="16"/>
        <w:sz w:val="24"/>
        <w:szCs w:val="24"/>
      </w:rPr>
    </w:lvl>
  </w:abstractNum>
  <w:num w:numId="1">
    <w:abstractNumId w:val="4"/>
  </w:num>
  <w:num w:numId="2">
    <w:abstractNumId w:val="1"/>
  </w:num>
  <w:num w:numId="3">
    <w:abstractNumId w:val="1"/>
    <w:lvlOverride w:ilvl="0">
      <w:lvl w:ilvl="0">
        <w:numFmt w:val="decimal"/>
        <w:lvlText w:val="%1.-"/>
        <w:lvlJc w:val="left"/>
        <w:pPr>
          <w:tabs>
            <w:tab w:val="num" w:pos="576"/>
          </w:tabs>
          <w:ind w:left="72"/>
        </w:pPr>
        <w:rPr>
          <w:rFonts w:ascii="Verdana" w:hAnsi="Verdana" w:cs="Verdana"/>
          <w:b/>
          <w:bCs/>
          <w:snapToGrid/>
          <w:sz w:val="24"/>
          <w:szCs w:val="24"/>
        </w:rPr>
      </w:lvl>
    </w:lvlOverride>
  </w:num>
  <w:num w:numId="4">
    <w:abstractNumId w:val="1"/>
    <w:lvlOverride w:ilvl="0">
      <w:lvl w:ilvl="0">
        <w:numFmt w:val="decimal"/>
        <w:lvlText w:val="%1.-"/>
        <w:lvlJc w:val="left"/>
        <w:pPr>
          <w:tabs>
            <w:tab w:val="num" w:pos="720"/>
          </w:tabs>
          <w:ind w:left="72"/>
        </w:pPr>
        <w:rPr>
          <w:rFonts w:ascii="Verdana" w:hAnsi="Verdana" w:cs="Verdana"/>
          <w:b/>
          <w:bCs/>
          <w:snapToGrid/>
          <w:sz w:val="24"/>
          <w:szCs w:val="24"/>
        </w:rPr>
      </w:lvl>
    </w:lvlOverride>
  </w:num>
  <w:num w:numId="5">
    <w:abstractNumId w:val="2"/>
  </w:num>
  <w:num w:numId="6">
    <w:abstractNumId w:val="3"/>
  </w:num>
  <w:num w:numId="7">
    <w:abstractNumId w:val="3"/>
    <w:lvlOverride w:ilvl="0">
      <w:lvl w:ilvl="0">
        <w:numFmt w:val="upperLetter"/>
        <w:lvlText w:val="%1).-"/>
        <w:lvlJc w:val="left"/>
        <w:pPr>
          <w:tabs>
            <w:tab w:val="num" w:pos="576"/>
          </w:tabs>
          <w:ind w:left="72"/>
        </w:pPr>
        <w:rPr>
          <w:rFonts w:ascii="Tahoma" w:hAnsi="Tahoma" w:cs="Tahoma"/>
          <w:snapToGrid/>
          <w:sz w:val="25"/>
          <w:szCs w:val="25"/>
        </w:rPr>
      </w:lvl>
    </w:lvlOverride>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34"/>
    <w:rsid w:val="00083AD1"/>
    <w:rsid w:val="00236B1C"/>
    <w:rsid w:val="003970C1"/>
    <w:rsid w:val="00493C17"/>
    <w:rsid w:val="004B4A34"/>
    <w:rsid w:val="00555FAB"/>
    <w:rsid w:val="00C859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FA9D0-55D2-42D6-A2A6-15B8C34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36B1C"/>
    <w:rPr>
      <w:lang w:val="es-CR"/>
    </w:rPr>
  </w:style>
  <w:style w:type="character" w:customStyle="1" w:styleId="CharacterStyle1">
    <w:name w:val="Character Style 1"/>
    <w:uiPriority w:val="99"/>
    <w:rsid w:val="00236B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4093</Words>
  <Characters>22516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2019-08-26T18:41:00Z</dcterms:created>
  <dcterms:modified xsi:type="dcterms:W3CDTF">2019-08-26T18:41:00Z</dcterms:modified>
</cp:coreProperties>
</file>